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AADE6" w14:textId="107933EE" w:rsidR="007C5E82" w:rsidRPr="008704BA" w:rsidRDefault="005816E6">
      <w:pPr>
        <w:rPr>
          <w:rFonts w:cstheme="minorHAnsi"/>
        </w:rPr>
      </w:pPr>
      <w:r w:rsidRPr="008704BA">
        <w:rPr>
          <w:rFonts w:cstheme="minorHAnsi"/>
          <w:b/>
          <w:bCs/>
          <w:noProof/>
          <w:color w:val="4472C4" w:themeColor="accent1"/>
          <w:kern w:val="0"/>
          <w:sz w:val="22"/>
        </w:rPr>
        <mc:AlternateContent>
          <mc:Choice Requires="wps">
            <w:drawing>
              <wp:anchor distT="0" distB="0" distL="114300" distR="114300" simplePos="0" relativeHeight="251658243" behindDoc="1" locked="0" layoutInCell="1" allowOverlap="1" wp14:anchorId="5553E813" wp14:editId="37B325B1">
                <wp:simplePos x="0" y="0"/>
                <wp:positionH relativeFrom="margin">
                  <wp:posOffset>-1030540</wp:posOffset>
                </wp:positionH>
                <wp:positionV relativeFrom="paragraph">
                  <wp:posOffset>167005</wp:posOffset>
                </wp:positionV>
                <wp:extent cx="6786465" cy="1752600"/>
                <wp:effectExtent l="0" t="0" r="0" b="0"/>
                <wp:wrapNone/>
                <wp:docPr id="17" name="文字方塊 17"/>
                <wp:cNvGraphicFramePr/>
                <a:graphic xmlns:a="http://schemas.openxmlformats.org/drawingml/2006/main">
                  <a:graphicData uri="http://schemas.microsoft.com/office/word/2010/wordprocessingShape">
                    <wps:wsp>
                      <wps:cNvSpPr txBox="1"/>
                      <wps:spPr>
                        <a:xfrm>
                          <a:off x="0" y="0"/>
                          <a:ext cx="6786465" cy="1752600"/>
                        </a:xfrm>
                        <a:prstGeom prst="rect">
                          <a:avLst/>
                        </a:prstGeom>
                        <a:noFill/>
                        <a:ln w="6350">
                          <a:noFill/>
                        </a:ln>
                      </wps:spPr>
                      <wps:txbx>
                        <w:txbxContent>
                          <w:p w14:paraId="4F8304E6" w14:textId="58535ED5" w:rsidR="00E12D7F" w:rsidRPr="002D429B" w:rsidRDefault="00E12D7F" w:rsidP="005816E6">
                            <w:pPr>
                              <w:spacing w:line="600" w:lineRule="auto"/>
                              <w:jc w:val="right"/>
                              <w:rPr>
                                <w:b/>
                                <w:bCs/>
                                <w:sz w:val="56"/>
                                <w:szCs w:val="52"/>
                              </w:rPr>
                            </w:pPr>
                            <w:r w:rsidRPr="002D429B">
                              <w:rPr>
                                <w:b/>
                                <w:bCs/>
                                <w:sz w:val="56"/>
                                <w:szCs w:val="52"/>
                              </w:rPr>
                              <w:t>202</w:t>
                            </w:r>
                            <w:r w:rsidR="004A1680">
                              <w:rPr>
                                <w:b/>
                                <w:bCs/>
                                <w:sz w:val="56"/>
                                <w:szCs w:val="52"/>
                              </w:rPr>
                              <w:t>2</w:t>
                            </w:r>
                            <w:r w:rsidRPr="002D429B">
                              <w:rPr>
                                <w:b/>
                                <w:bCs/>
                                <w:sz w:val="56"/>
                                <w:szCs w:val="52"/>
                              </w:rPr>
                              <w:t xml:space="preserve"> Environmental Risk </w:t>
                            </w:r>
                            <w:r w:rsidR="00F43A94">
                              <w:rPr>
                                <w:b/>
                                <w:bCs/>
                                <w:sz w:val="56"/>
                                <w:szCs w:val="52"/>
                              </w:rPr>
                              <w:t xml:space="preserve">Management </w:t>
                            </w:r>
                            <w:r w:rsidRPr="002D429B">
                              <w:rPr>
                                <w:b/>
                                <w:bCs/>
                                <w:sz w:val="56"/>
                                <w:szCs w:val="52"/>
                              </w:rPr>
                              <w:t>Disclosure Report</w:t>
                            </w:r>
                          </w:p>
                          <w:p w14:paraId="5F6F5C16" w14:textId="1A4A1339" w:rsidR="005816E6" w:rsidRPr="002D429B" w:rsidRDefault="005816E6" w:rsidP="005816E6">
                            <w:pPr>
                              <w:spacing w:line="600" w:lineRule="auto"/>
                              <w:jc w:val="right"/>
                              <w:rPr>
                                <w:b/>
                                <w:bCs/>
                                <w:sz w:val="40"/>
                                <w:szCs w:val="36"/>
                              </w:rPr>
                            </w:pPr>
                            <w:r w:rsidRPr="002D429B">
                              <w:rPr>
                                <w:b/>
                                <w:bCs/>
                                <w:sz w:val="40"/>
                                <w:szCs w:val="36"/>
                              </w:rPr>
                              <w:t>LAND BANK OF TAIWAN, SINGAPORE BRANCH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53E813" id="_x0000_t202" coordsize="21600,21600" o:spt="202" path="m,l,21600r21600,l21600,xe">
                <v:stroke joinstyle="miter"/>
                <v:path gradientshapeok="t" o:connecttype="rect"/>
              </v:shapetype>
              <v:shape id="文字方塊 17" o:spid="_x0000_s1026" type="#_x0000_t202" style="position:absolute;margin-left:-81.15pt;margin-top:13.15pt;width:534.35pt;height:138pt;z-index:-251658237;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" filled="f" stroked="f" strokeweight=".5pt">
                <v:textbox>
                  <w:txbxContent>
                    <w:p w14:paraId="4F8304E6" w14:textId="58535ED5" w:rsidR="00E12D7F" w:rsidRPr="002D429B" w:rsidRDefault="00E12D7F" w:rsidP="005816E6">
                      <w:pPr>
                        <w:spacing w:line="600" w:lineRule="auto"/>
                        <w:jc w:val="right"/>
                        <w:rPr>
                          <w:b/>
                          <w:bCs/>
                          <w:sz w:val="56"/>
                          <w:szCs w:val="52"/>
                        </w:rPr>
                      </w:pPr>
                      <w:r w:rsidRPr="002D429B">
                        <w:rPr>
                          <w:b/>
                          <w:bCs/>
                          <w:sz w:val="56"/>
                          <w:szCs w:val="52"/>
                        </w:rPr>
                        <w:t>202</w:t>
                      </w:r>
                      <w:r w:rsidR="004A1680">
                        <w:rPr>
                          <w:b/>
                          <w:bCs/>
                          <w:sz w:val="56"/>
                          <w:szCs w:val="52"/>
                        </w:rPr>
                        <w:t>2</w:t>
                      </w:r>
                      <w:r w:rsidRPr="002D429B">
                        <w:rPr>
                          <w:b/>
                          <w:bCs/>
                          <w:sz w:val="56"/>
                          <w:szCs w:val="52"/>
                        </w:rPr>
                        <w:t xml:space="preserve"> Environmental Risk </w:t>
                      </w:r>
                      <w:r w:rsidR="00F43A94">
                        <w:rPr>
                          <w:b/>
                          <w:bCs/>
                          <w:sz w:val="56"/>
                          <w:szCs w:val="52"/>
                        </w:rPr>
                        <w:t xml:space="preserve">Management </w:t>
                      </w:r>
                      <w:r w:rsidRPr="002D429B">
                        <w:rPr>
                          <w:b/>
                          <w:bCs/>
                          <w:sz w:val="56"/>
                          <w:szCs w:val="52"/>
                        </w:rPr>
                        <w:t>Disclosure Report</w:t>
                      </w:r>
                    </w:p>
                    <w:p w14:paraId="5F6F5C16" w14:textId="1A4A1339" w:rsidR="005816E6" w:rsidRPr="002D429B" w:rsidRDefault="005816E6" w:rsidP="005816E6">
                      <w:pPr>
                        <w:spacing w:line="600" w:lineRule="auto"/>
                        <w:jc w:val="right"/>
                        <w:rPr>
                          <w:b/>
                          <w:bCs/>
                          <w:sz w:val="40"/>
                          <w:szCs w:val="36"/>
                        </w:rPr>
                      </w:pPr>
                      <w:r w:rsidRPr="002D429B">
                        <w:rPr>
                          <w:b/>
                          <w:bCs/>
                          <w:sz w:val="40"/>
                          <w:szCs w:val="36"/>
                        </w:rPr>
                        <w:t>LAND BANK OF TAIWAN, SINGAPORE BRANCH</w:t>
                      </w:r>
                    </w:p>
                  </w:txbxContent>
                </v:textbox>
                <w10:wrap anchorx="margin"/>
              </v:shape>
            </w:pict>
          </mc:Fallback>
        </mc:AlternateContent>
      </w:r>
      <w:r w:rsidR="00E20744" w:rsidRPr="008704BA">
        <w:rPr>
          <w:rFonts w:cstheme="minorHAnsi"/>
          <w:noProof/>
        </w:rPr>
        <w:drawing>
          <wp:anchor distT="0" distB="0" distL="114300" distR="114300" simplePos="0" relativeHeight="251658240" behindDoc="1" locked="0" layoutInCell="1" allowOverlap="1" wp14:anchorId="4804EA61" wp14:editId="00610221">
            <wp:simplePos x="0" y="0"/>
            <wp:positionH relativeFrom="page">
              <wp:posOffset>-325120</wp:posOffset>
            </wp:positionH>
            <wp:positionV relativeFrom="page">
              <wp:align>top</wp:align>
            </wp:positionV>
            <wp:extent cx="7902196" cy="10678602"/>
            <wp:effectExtent l="0" t="0" r="3810" b="8890"/>
            <wp:wrapNone/>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alphaModFix amt="40000"/>
                      <a:extLst>
                        <a:ext uri="{28A0092B-C50C-407E-A947-70E740481C1C}">
                          <a14:useLocalDpi xmlns:a14="http://schemas.microsoft.com/office/drawing/2010/main" val="0"/>
                        </a:ext>
                      </a:extLst>
                    </a:blip>
                    <a:srcRect/>
                    <a:stretch>
                      <a:fillRect/>
                    </a:stretch>
                  </pic:blipFill>
                  <pic:spPr bwMode="auto">
                    <a:xfrm>
                      <a:off x="0" y="0"/>
                      <a:ext cx="7902196" cy="10678602"/>
                    </a:xfrm>
                    <a:prstGeom prst="rect">
                      <a:avLst/>
                    </a:prstGeom>
                    <a:noFill/>
                  </pic:spPr>
                </pic:pic>
              </a:graphicData>
            </a:graphic>
            <wp14:sizeRelH relativeFrom="margin">
              <wp14:pctWidth>0</wp14:pctWidth>
            </wp14:sizeRelH>
            <wp14:sizeRelV relativeFrom="margin">
              <wp14:pctHeight>0</wp14:pctHeight>
            </wp14:sizeRelV>
          </wp:anchor>
        </w:drawing>
      </w:r>
    </w:p>
    <w:sdt>
      <w:sdtPr>
        <w:rPr>
          <w:rFonts w:cstheme="minorHAnsi"/>
        </w:rPr>
        <w:id w:val="771668595"/>
        <w:docPartObj>
          <w:docPartGallery w:val="Cover Pages"/>
          <w:docPartUnique/>
        </w:docPartObj>
      </w:sdtPr>
      <w:sdtEndPr>
        <w:rPr>
          <w:b/>
          <w:bCs/>
          <w:noProof/>
          <w:color w:val="4472C4" w:themeColor="accent1"/>
          <w:kern w:val="0"/>
          <w:sz w:val="22"/>
        </w:rPr>
      </w:sdtEndPr>
      <w:sdtContent>
        <w:p w14:paraId="13CC586B" w14:textId="473623DE" w:rsidR="008A02EC" w:rsidRPr="008704BA" w:rsidRDefault="008A02EC">
          <w:pPr>
            <w:rPr>
              <w:rFonts w:cstheme="minorHAnsi"/>
            </w:rPr>
          </w:pPr>
        </w:p>
        <w:p w14:paraId="01C8BFAC" w14:textId="7FC30AB0" w:rsidR="008A02EC" w:rsidRPr="008704BA" w:rsidRDefault="005816E6">
          <w:pPr>
            <w:widowControl/>
            <w:rPr>
              <w:rFonts w:cstheme="minorHAnsi"/>
              <w:noProof/>
              <w:color w:val="4472C4" w:themeColor="accent1"/>
              <w:kern w:val="0"/>
              <w:sz w:val="22"/>
            </w:rPr>
          </w:pPr>
          <w:r w:rsidRPr="008704BA">
            <w:rPr>
              <w:rFonts w:cstheme="minorHAnsi"/>
              <w:b/>
              <w:bCs/>
              <w:noProof/>
              <w:color w:val="4472C4" w:themeColor="accent1"/>
              <w:kern w:val="0"/>
              <w:sz w:val="22"/>
            </w:rPr>
            <w:drawing>
              <wp:anchor distT="0" distB="0" distL="114300" distR="114300" simplePos="0" relativeHeight="251658241" behindDoc="1" locked="0" layoutInCell="1" allowOverlap="1" wp14:anchorId="642CD81F" wp14:editId="63010DDE">
                <wp:simplePos x="0" y="0"/>
                <wp:positionH relativeFrom="margin">
                  <wp:posOffset>2852124</wp:posOffset>
                </wp:positionH>
                <wp:positionV relativeFrom="paragraph">
                  <wp:posOffset>7342505</wp:posOffset>
                </wp:positionV>
                <wp:extent cx="2932990" cy="855456"/>
                <wp:effectExtent l="0" t="0" r="1270" b="0"/>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2990" cy="855456"/>
                        </a:xfrm>
                        <a:prstGeom prst="rect">
                          <a:avLst/>
                        </a:prstGeom>
                        <a:noFill/>
                      </pic:spPr>
                    </pic:pic>
                  </a:graphicData>
                </a:graphic>
                <wp14:sizeRelH relativeFrom="margin">
                  <wp14:pctWidth>0</wp14:pctWidth>
                </wp14:sizeRelH>
                <wp14:sizeRelV relativeFrom="margin">
                  <wp14:pctHeight>0</wp14:pctHeight>
                </wp14:sizeRelV>
              </wp:anchor>
            </w:drawing>
          </w:r>
          <w:r w:rsidRPr="008704BA">
            <w:rPr>
              <w:rFonts w:cstheme="minorHAnsi"/>
              <w:b/>
              <w:bCs/>
              <w:noProof/>
              <w:color w:val="4472C4" w:themeColor="accent1"/>
              <w:kern w:val="0"/>
              <w:sz w:val="22"/>
            </w:rPr>
            <w:drawing>
              <wp:anchor distT="0" distB="0" distL="114300" distR="114300" simplePos="0" relativeHeight="251658242" behindDoc="1" locked="0" layoutInCell="1" allowOverlap="1" wp14:anchorId="5983B07F" wp14:editId="31F1F874">
                <wp:simplePos x="0" y="0"/>
                <wp:positionH relativeFrom="margin">
                  <wp:align>center</wp:align>
                </wp:positionH>
                <wp:positionV relativeFrom="paragraph">
                  <wp:posOffset>2171700</wp:posOffset>
                </wp:positionV>
                <wp:extent cx="3610610" cy="3610610"/>
                <wp:effectExtent l="76200" t="19050" r="27940" b="85090"/>
                <wp:wrapNone/>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alphaModFix/>
                          <a:duotone>
                            <a:prstClr val="black"/>
                            <a:schemeClr val="accent6">
                              <a:tint val="45000"/>
                              <a:satMod val="400000"/>
                            </a:schemeClr>
                          </a:duotone>
                          <a:extLst>
                            <a:ext uri="{BEBA8EAE-BF5A-486C-A8C5-ECC9F3942E4B}">
                              <a14:imgProps xmlns:a14="http://schemas.microsoft.com/office/drawing/2010/main">
                                <a14:imgLayer r:embed="rId11">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3610610" cy="361061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8A02EC" w:rsidRPr="008704BA">
            <w:rPr>
              <w:rFonts w:cstheme="minorHAnsi"/>
              <w:b/>
              <w:bCs/>
              <w:noProof/>
              <w:color w:val="4472C4" w:themeColor="accent1"/>
              <w:kern w:val="0"/>
              <w:sz w:val="22"/>
            </w:rPr>
            <w:br w:type="page"/>
          </w:r>
        </w:p>
      </w:sdtContent>
    </w:sdt>
    <w:sdt>
      <w:sdtPr>
        <w:rPr>
          <w:rFonts w:asciiTheme="minorHAnsi" w:eastAsiaTheme="minorEastAsia" w:hAnsiTheme="minorHAnsi" w:cstheme="minorHAnsi"/>
          <w:color w:val="auto"/>
          <w:kern w:val="2"/>
          <w:sz w:val="24"/>
          <w:szCs w:val="22"/>
          <w:lang w:val="zh-TW"/>
        </w:rPr>
        <w:id w:val="-649675941"/>
        <w:docPartObj>
          <w:docPartGallery w:val="Table of Contents"/>
          <w:docPartUnique/>
        </w:docPartObj>
      </w:sdtPr>
      <w:sdtEndPr>
        <w:rPr>
          <w:b/>
          <w:bCs/>
        </w:rPr>
      </w:sdtEndPr>
      <w:sdtContent>
        <w:p w14:paraId="09FCA786" w14:textId="64DC8ACD" w:rsidR="00EB58CA" w:rsidRPr="008704BA" w:rsidRDefault="00EB58CA" w:rsidP="00F43A94">
          <w:pPr>
            <w:pStyle w:val="TOCHeading"/>
            <w:rPr>
              <w:rStyle w:val="Heading1Char"/>
              <w:rFonts w:asciiTheme="minorHAnsi" w:hAnsiTheme="minorHAnsi" w:cstheme="minorHAnsi"/>
            </w:rPr>
          </w:pPr>
          <w:r w:rsidRPr="008704BA">
            <w:rPr>
              <w:rStyle w:val="Heading1Char"/>
              <w:rFonts w:asciiTheme="minorHAnsi" w:hAnsiTheme="minorHAnsi" w:cstheme="minorHAnsi"/>
            </w:rPr>
            <w:t>Content</w:t>
          </w:r>
        </w:p>
        <w:p w14:paraId="49264028" w14:textId="5E508824" w:rsidR="008F0CD3" w:rsidRPr="008704BA" w:rsidRDefault="00EB58CA">
          <w:pPr>
            <w:pStyle w:val="TOC1"/>
            <w:tabs>
              <w:tab w:val="right" w:leader="dot" w:pos="8296"/>
            </w:tabs>
            <w:rPr>
              <w:rFonts w:cstheme="minorHAnsi"/>
              <w:noProof/>
              <w:kern w:val="2"/>
              <w:sz w:val="24"/>
            </w:rPr>
          </w:pPr>
          <w:r w:rsidRPr="008704BA">
            <w:rPr>
              <w:rFonts w:cstheme="minorHAnsi"/>
            </w:rPr>
            <w:fldChar w:fldCharType="begin"/>
          </w:r>
          <w:r w:rsidRPr="008704BA">
            <w:rPr>
              <w:rFonts w:cstheme="minorHAnsi"/>
            </w:rPr>
            <w:instrText xml:space="preserve"> TOC \o "1-3" \h \z \u </w:instrText>
          </w:r>
          <w:r w:rsidRPr="008704BA">
            <w:rPr>
              <w:rFonts w:cstheme="minorHAnsi"/>
            </w:rPr>
            <w:fldChar w:fldCharType="separate"/>
          </w:r>
          <w:hyperlink w:anchor="_Toc106234001" w:history="1">
            <w:r w:rsidR="008F0CD3" w:rsidRPr="008704BA">
              <w:rPr>
                <w:rStyle w:val="Hyperlink"/>
                <w:rFonts w:cstheme="minorHAnsi"/>
                <w:noProof/>
              </w:rPr>
              <w:t>Section 1 Introduction</w:t>
            </w:r>
            <w:r w:rsidR="008F0CD3" w:rsidRPr="008704BA">
              <w:rPr>
                <w:rFonts w:cstheme="minorHAnsi"/>
                <w:noProof/>
                <w:webHidden/>
              </w:rPr>
              <w:tab/>
            </w:r>
            <w:r w:rsidR="008F0CD3" w:rsidRPr="008704BA">
              <w:rPr>
                <w:rFonts w:cstheme="minorHAnsi"/>
                <w:noProof/>
                <w:webHidden/>
              </w:rPr>
              <w:fldChar w:fldCharType="begin"/>
            </w:r>
            <w:r w:rsidR="008F0CD3" w:rsidRPr="008704BA">
              <w:rPr>
                <w:rFonts w:cstheme="minorHAnsi"/>
                <w:noProof/>
                <w:webHidden/>
              </w:rPr>
              <w:instrText xml:space="preserve"> PAGEREF _Toc106234001 \h </w:instrText>
            </w:r>
            <w:r w:rsidR="008F0CD3" w:rsidRPr="008704BA">
              <w:rPr>
                <w:rFonts w:cstheme="minorHAnsi"/>
                <w:noProof/>
                <w:webHidden/>
              </w:rPr>
            </w:r>
            <w:r w:rsidR="008F0CD3" w:rsidRPr="008704BA">
              <w:rPr>
                <w:rFonts w:cstheme="minorHAnsi"/>
                <w:noProof/>
                <w:webHidden/>
              </w:rPr>
              <w:fldChar w:fldCharType="separate"/>
            </w:r>
            <w:r w:rsidR="008F0CD3" w:rsidRPr="008704BA">
              <w:rPr>
                <w:rFonts w:cstheme="minorHAnsi"/>
                <w:noProof/>
                <w:webHidden/>
              </w:rPr>
              <w:t>2</w:t>
            </w:r>
            <w:r w:rsidR="008F0CD3" w:rsidRPr="008704BA">
              <w:rPr>
                <w:rFonts w:cstheme="minorHAnsi"/>
                <w:noProof/>
                <w:webHidden/>
              </w:rPr>
              <w:fldChar w:fldCharType="end"/>
            </w:r>
          </w:hyperlink>
        </w:p>
        <w:p w14:paraId="5B782D0D" w14:textId="1472ED74" w:rsidR="008F0CD3" w:rsidRPr="008704BA" w:rsidRDefault="00C96182">
          <w:pPr>
            <w:pStyle w:val="TOC1"/>
            <w:tabs>
              <w:tab w:val="right" w:leader="dot" w:pos="8296"/>
            </w:tabs>
            <w:rPr>
              <w:rFonts w:cstheme="minorHAnsi"/>
              <w:noProof/>
              <w:kern w:val="2"/>
              <w:sz w:val="24"/>
            </w:rPr>
          </w:pPr>
          <w:hyperlink w:anchor="_Toc106234002" w:history="1">
            <w:r w:rsidR="008F0CD3" w:rsidRPr="008704BA">
              <w:rPr>
                <w:rStyle w:val="Hyperlink"/>
                <w:rFonts w:cstheme="minorHAnsi"/>
                <w:noProof/>
              </w:rPr>
              <w:t>Section 2 Governance and Strategy</w:t>
            </w:r>
            <w:r w:rsidR="008F0CD3" w:rsidRPr="008704BA">
              <w:rPr>
                <w:rFonts w:cstheme="minorHAnsi"/>
                <w:noProof/>
                <w:webHidden/>
              </w:rPr>
              <w:tab/>
            </w:r>
            <w:r w:rsidR="008F0CD3" w:rsidRPr="008704BA">
              <w:rPr>
                <w:rFonts w:cstheme="minorHAnsi"/>
                <w:noProof/>
                <w:webHidden/>
              </w:rPr>
              <w:fldChar w:fldCharType="begin"/>
            </w:r>
            <w:r w:rsidR="008F0CD3" w:rsidRPr="008704BA">
              <w:rPr>
                <w:rFonts w:cstheme="minorHAnsi"/>
                <w:noProof/>
                <w:webHidden/>
              </w:rPr>
              <w:instrText xml:space="preserve"> PAGEREF _Toc106234002 \h </w:instrText>
            </w:r>
            <w:r w:rsidR="008F0CD3" w:rsidRPr="008704BA">
              <w:rPr>
                <w:rFonts w:cstheme="minorHAnsi"/>
                <w:noProof/>
                <w:webHidden/>
              </w:rPr>
            </w:r>
            <w:r w:rsidR="008F0CD3" w:rsidRPr="008704BA">
              <w:rPr>
                <w:rFonts w:cstheme="minorHAnsi"/>
                <w:noProof/>
                <w:webHidden/>
              </w:rPr>
              <w:fldChar w:fldCharType="separate"/>
            </w:r>
            <w:r w:rsidR="008F0CD3" w:rsidRPr="008704BA">
              <w:rPr>
                <w:rFonts w:cstheme="minorHAnsi"/>
                <w:noProof/>
                <w:webHidden/>
              </w:rPr>
              <w:t>3</w:t>
            </w:r>
            <w:r w:rsidR="008F0CD3" w:rsidRPr="008704BA">
              <w:rPr>
                <w:rFonts w:cstheme="minorHAnsi"/>
                <w:noProof/>
                <w:webHidden/>
              </w:rPr>
              <w:fldChar w:fldCharType="end"/>
            </w:r>
          </w:hyperlink>
        </w:p>
        <w:p w14:paraId="2C65227E" w14:textId="18D654E6" w:rsidR="008F0CD3" w:rsidRPr="008704BA" w:rsidRDefault="00C96182">
          <w:pPr>
            <w:pStyle w:val="TOC1"/>
            <w:tabs>
              <w:tab w:val="right" w:leader="dot" w:pos="8296"/>
            </w:tabs>
            <w:rPr>
              <w:rFonts w:cstheme="minorHAnsi"/>
              <w:noProof/>
              <w:kern w:val="2"/>
              <w:sz w:val="24"/>
            </w:rPr>
          </w:pPr>
          <w:hyperlink w:anchor="_Toc106234003" w:history="1">
            <w:r w:rsidR="008F0CD3" w:rsidRPr="008704BA">
              <w:rPr>
                <w:rStyle w:val="Hyperlink"/>
                <w:rFonts w:cstheme="minorHAnsi"/>
                <w:noProof/>
              </w:rPr>
              <w:t>Section 3 Risk Management</w:t>
            </w:r>
            <w:r w:rsidR="008F0CD3" w:rsidRPr="008704BA">
              <w:rPr>
                <w:rFonts w:cstheme="minorHAnsi"/>
                <w:noProof/>
                <w:webHidden/>
              </w:rPr>
              <w:tab/>
            </w:r>
            <w:r w:rsidR="008F0CD3" w:rsidRPr="008704BA">
              <w:rPr>
                <w:rFonts w:cstheme="minorHAnsi"/>
                <w:noProof/>
                <w:webHidden/>
              </w:rPr>
              <w:fldChar w:fldCharType="begin"/>
            </w:r>
            <w:r w:rsidR="008F0CD3" w:rsidRPr="008704BA">
              <w:rPr>
                <w:rFonts w:cstheme="minorHAnsi"/>
                <w:noProof/>
                <w:webHidden/>
              </w:rPr>
              <w:instrText xml:space="preserve"> PAGEREF _Toc106234003 \h </w:instrText>
            </w:r>
            <w:r w:rsidR="008F0CD3" w:rsidRPr="008704BA">
              <w:rPr>
                <w:rFonts w:cstheme="minorHAnsi"/>
                <w:noProof/>
                <w:webHidden/>
              </w:rPr>
            </w:r>
            <w:r w:rsidR="008F0CD3" w:rsidRPr="008704BA">
              <w:rPr>
                <w:rFonts w:cstheme="minorHAnsi"/>
                <w:noProof/>
                <w:webHidden/>
              </w:rPr>
              <w:fldChar w:fldCharType="separate"/>
            </w:r>
            <w:r w:rsidR="008F0CD3" w:rsidRPr="008704BA">
              <w:rPr>
                <w:rFonts w:cstheme="minorHAnsi"/>
                <w:noProof/>
                <w:webHidden/>
              </w:rPr>
              <w:t>4</w:t>
            </w:r>
            <w:r w:rsidR="008F0CD3" w:rsidRPr="008704BA">
              <w:rPr>
                <w:rFonts w:cstheme="minorHAnsi"/>
                <w:noProof/>
                <w:webHidden/>
              </w:rPr>
              <w:fldChar w:fldCharType="end"/>
            </w:r>
          </w:hyperlink>
        </w:p>
        <w:p w14:paraId="3EE8FC49" w14:textId="36C06DB6" w:rsidR="008F0CD3" w:rsidRPr="008704BA" w:rsidRDefault="00C96182">
          <w:pPr>
            <w:pStyle w:val="TOC2"/>
            <w:tabs>
              <w:tab w:val="right" w:leader="dot" w:pos="8296"/>
            </w:tabs>
            <w:rPr>
              <w:rFonts w:cstheme="minorHAnsi"/>
              <w:noProof/>
              <w:kern w:val="2"/>
              <w:sz w:val="24"/>
            </w:rPr>
          </w:pPr>
          <w:hyperlink w:anchor="_Toc106234004" w:history="1">
            <w:r w:rsidR="008F0CD3" w:rsidRPr="008704BA">
              <w:rPr>
                <w:rStyle w:val="Hyperlink"/>
                <w:rFonts w:cstheme="minorHAnsi"/>
                <w:noProof/>
              </w:rPr>
              <w:t>3.1 Environmental Risk Management Framework</w:t>
            </w:r>
            <w:r w:rsidR="008F0CD3" w:rsidRPr="008704BA">
              <w:rPr>
                <w:rFonts w:cstheme="minorHAnsi"/>
                <w:noProof/>
                <w:webHidden/>
              </w:rPr>
              <w:tab/>
            </w:r>
            <w:r w:rsidR="008F0CD3" w:rsidRPr="008704BA">
              <w:rPr>
                <w:rFonts w:cstheme="minorHAnsi"/>
                <w:noProof/>
                <w:webHidden/>
              </w:rPr>
              <w:fldChar w:fldCharType="begin"/>
            </w:r>
            <w:r w:rsidR="008F0CD3" w:rsidRPr="008704BA">
              <w:rPr>
                <w:rFonts w:cstheme="minorHAnsi"/>
                <w:noProof/>
                <w:webHidden/>
              </w:rPr>
              <w:instrText xml:space="preserve"> PAGEREF _Toc106234004 \h </w:instrText>
            </w:r>
            <w:r w:rsidR="008F0CD3" w:rsidRPr="008704BA">
              <w:rPr>
                <w:rFonts w:cstheme="minorHAnsi"/>
                <w:noProof/>
                <w:webHidden/>
              </w:rPr>
            </w:r>
            <w:r w:rsidR="008F0CD3" w:rsidRPr="008704BA">
              <w:rPr>
                <w:rFonts w:cstheme="minorHAnsi"/>
                <w:noProof/>
                <w:webHidden/>
              </w:rPr>
              <w:fldChar w:fldCharType="separate"/>
            </w:r>
            <w:r w:rsidR="008F0CD3" w:rsidRPr="008704BA">
              <w:rPr>
                <w:rFonts w:cstheme="minorHAnsi"/>
                <w:noProof/>
                <w:webHidden/>
              </w:rPr>
              <w:t>4</w:t>
            </w:r>
            <w:r w:rsidR="008F0CD3" w:rsidRPr="008704BA">
              <w:rPr>
                <w:rFonts w:cstheme="minorHAnsi"/>
                <w:noProof/>
                <w:webHidden/>
              </w:rPr>
              <w:fldChar w:fldCharType="end"/>
            </w:r>
          </w:hyperlink>
        </w:p>
        <w:p w14:paraId="0B23656C" w14:textId="57DC4EA8" w:rsidR="008F0CD3" w:rsidRPr="008704BA" w:rsidRDefault="00C96182">
          <w:pPr>
            <w:pStyle w:val="TOC2"/>
            <w:tabs>
              <w:tab w:val="right" w:leader="dot" w:pos="8296"/>
            </w:tabs>
            <w:rPr>
              <w:rFonts w:cstheme="minorHAnsi"/>
              <w:noProof/>
              <w:kern w:val="2"/>
              <w:sz w:val="24"/>
            </w:rPr>
          </w:pPr>
          <w:hyperlink w:anchor="_Toc106234005" w:history="1">
            <w:r w:rsidR="008F0CD3" w:rsidRPr="008704BA">
              <w:rPr>
                <w:rStyle w:val="Hyperlink"/>
                <w:rFonts w:cstheme="minorHAnsi"/>
                <w:noProof/>
              </w:rPr>
              <w:t>3.2 Environmental Risk Management Process</w:t>
            </w:r>
            <w:r w:rsidR="008F0CD3" w:rsidRPr="008704BA">
              <w:rPr>
                <w:rFonts w:cstheme="minorHAnsi"/>
                <w:noProof/>
                <w:webHidden/>
              </w:rPr>
              <w:tab/>
            </w:r>
            <w:r w:rsidR="008F0CD3" w:rsidRPr="008704BA">
              <w:rPr>
                <w:rFonts w:cstheme="minorHAnsi"/>
                <w:noProof/>
                <w:webHidden/>
              </w:rPr>
              <w:fldChar w:fldCharType="begin"/>
            </w:r>
            <w:r w:rsidR="008F0CD3" w:rsidRPr="008704BA">
              <w:rPr>
                <w:rFonts w:cstheme="minorHAnsi"/>
                <w:noProof/>
                <w:webHidden/>
              </w:rPr>
              <w:instrText xml:space="preserve"> PAGEREF _Toc106234005 \h </w:instrText>
            </w:r>
            <w:r w:rsidR="008F0CD3" w:rsidRPr="008704BA">
              <w:rPr>
                <w:rFonts w:cstheme="minorHAnsi"/>
                <w:noProof/>
                <w:webHidden/>
              </w:rPr>
            </w:r>
            <w:r w:rsidR="008F0CD3" w:rsidRPr="008704BA">
              <w:rPr>
                <w:rFonts w:cstheme="minorHAnsi"/>
                <w:noProof/>
                <w:webHidden/>
              </w:rPr>
              <w:fldChar w:fldCharType="separate"/>
            </w:r>
            <w:r w:rsidR="008F0CD3" w:rsidRPr="008704BA">
              <w:rPr>
                <w:rFonts w:cstheme="minorHAnsi"/>
                <w:noProof/>
                <w:webHidden/>
              </w:rPr>
              <w:t>5</w:t>
            </w:r>
            <w:r w:rsidR="008F0CD3" w:rsidRPr="008704BA">
              <w:rPr>
                <w:rFonts w:cstheme="minorHAnsi"/>
                <w:noProof/>
                <w:webHidden/>
              </w:rPr>
              <w:fldChar w:fldCharType="end"/>
            </w:r>
          </w:hyperlink>
        </w:p>
        <w:p w14:paraId="67F69F19" w14:textId="405FB5EA" w:rsidR="008F0CD3" w:rsidRPr="008704BA" w:rsidRDefault="00C96182">
          <w:pPr>
            <w:pStyle w:val="TOC2"/>
            <w:tabs>
              <w:tab w:val="right" w:leader="dot" w:pos="8296"/>
            </w:tabs>
            <w:rPr>
              <w:rFonts w:cstheme="minorHAnsi"/>
              <w:noProof/>
              <w:kern w:val="2"/>
              <w:sz w:val="24"/>
            </w:rPr>
          </w:pPr>
          <w:hyperlink w:anchor="_Toc106234006" w:history="1">
            <w:r w:rsidR="008F0CD3" w:rsidRPr="008704BA">
              <w:rPr>
                <w:rStyle w:val="Hyperlink"/>
                <w:rFonts w:cstheme="minorHAnsi"/>
                <w:noProof/>
                <w:lang w:val="en"/>
              </w:rPr>
              <w:t xml:space="preserve">3.3 </w:t>
            </w:r>
            <w:r w:rsidR="008F0CD3" w:rsidRPr="008704BA">
              <w:rPr>
                <w:rStyle w:val="Hyperlink"/>
                <w:rFonts w:cstheme="minorHAnsi"/>
                <w:noProof/>
              </w:rPr>
              <w:t>Conducting Scenario Analysis and Stress Testing</w:t>
            </w:r>
            <w:r w:rsidR="008F0CD3" w:rsidRPr="008704BA">
              <w:rPr>
                <w:rFonts w:cstheme="minorHAnsi"/>
                <w:noProof/>
                <w:webHidden/>
              </w:rPr>
              <w:tab/>
            </w:r>
            <w:r w:rsidR="008F0CD3" w:rsidRPr="008704BA">
              <w:rPr>
                <w:rFonts w:cstheme="minorHAnsi"/>
                <w:noProof/>
                <w:webHidden/>
              </w:rPr>
              <w:fldChar w:fldCharType="begin"/>
            </w:r>
            <w:r w:rsidR="008F0CD3" w:rsidRPr="008704BA">
              <w:rPr>
                <w:rFonts w:cstheme="minorHAnsi"/>
                <w:noProof/>
                <w:webHidden/>
              </w:rPr>
              <w:instrText xml:space="preserve"> PAGEREF _Toc106234006 \h </w:instrText>
            </w:r>
            <w:r w:rsidR="008F0CD3" w:rsidRPr="008704BA">
              <w:rPr>
                <w:rFonts w:cstheme="minorHAnsi"/>
                <w:noProof/>
                <w:webHidden/>
              </w:rPr>
            </w:r>
            <w:r w:rsidR="008F0CD3" w:rsidRPr="008704BA">
              <w:rPr>
                <w:rFonts w:cstheme="minorHAnsi"/>
                <w:noProof/>
                <w:webHidden/>
              </w:rPr>
              <w:fldChar w:fldCharType="separate"/>
            </w:r>
            <w:r w:rsidR="008F0CD3" w:rsidRPr="008704BA">
              <w:rPr>
                <w:rFonts w:cstheme="minorHAnsi"/>
                <w:noProof/>
                <w:webHidden/>
              </w:rPr>
              <w:t>7</w:t>
            </w:r>
            <w:r w:rsidR="008F0CD3" w:rsidRPr="008704BA">
              <w:rPr>
                <w:rFonts w:cstheme="minorHAnsi"/>
                <w:noProof/>
                <w:webHidden/>
              </w:rPr>
              <w:fldChar w:fldCharType="end"/>
            </w:r>
          </w:hyperlink>
        </w:p>
        <w:p w14:paraId="7B426B21" w14:textId="1025FE8C" w:rsidR="008F0CD3" w:rsidRPr="008704BA" w:rsidRDefault="00C96182">
          <w:pPr>
            <w:pStyle w:val="TOC2"/>
            <w:tabs>
              <w:tab w:val="right" w:leader="dot" w:pos="8296"/>
            </w:tabs>
            <w:rPr>
              <w:rFonts w:cstheme="minorHAnsi"/>
              <w:noProof/>
              <w:kern w:val="2"/>
              <w:sz w:val="24"/>
            </w:rPr>
          </w:pPr>
          <w:hyperlink w:anchor="_Toc106234007" w:history="1">
            <w:r w:rsidR="008F0CD3" w:rsidRPr="008704BA">
              <w:rPr>
                <w:rStyle w:val="Hyperlink"/>
                <w:rFonts w:cstheme="minorHAnsi"/>
                <w:noProof/>
              </w:rPr>
              <w:t>3.4 Development and Training</w:t>
            </w:r>
            <w:r w:rsidR="008F0CD3" w:rsidRPr="008704BA">
              <w:rPr>
                <w:rFonts w:cstheme="minorHAnsi"/>
                <w:noProof/>
                <w:webHidden/>
              </w:rPr>
              <w:tab/>
            </w:r>
            <w:r w:rsidR="008F0CD3" w:rsidRPr="008704BA">
              <w:rPr>
                <w:rFonts w:cstheme="minorHAnsi"/>
                <w:noProof/>
                <w:webHidden/>
              </w:rPr>
              <w:fldChar w:fldCharType="begin"/>
            </w:r>
            <w:r w:rsidR="008F0CD3" w:rsidRPr="008704BA">
              <w:rPr>
                <w:rFonts w:cstheme="minorHAnsi"/>
                <w:noProof/>
                <w:webHidden/>
              </w:rPr>
              <w:instrText xml:space="preserve"> PAGEREF _Toc106234007 \h </w:instrText>
            </w:r>
            <w:r w:rsidR="008F0CD3" w:rsidRPr="008704BA">
              <w:rPr>
                <w:rFonts w:cstheme="minorHAnsi"/>
                <w:noProof/>
                <w:webHidden/>
              </w:rPr>
            </w:r>
            <w:r w:rsidR="008F0CD3" w:rsidRPr="008704BA">
              <w:rPr>
                <w:rFonts w:cstheme="minorHAnsi"/>
                <w:noProof/>
                <w:webHidden/>
              </w:rPr>
              <w:fldChar w:fldCharType="separate"/>
            </w:r>
            <w:r w:rsidR="008F0CD3" w:rsidRPr="008704BA">
              <w:rPr>
                <w:rFonts w:cstheme="minorHAnsi"/>
                <w:noProof/>
                <w:webHidden/>
              </w:rPr>
              <w:t>8</w:t>
            </w:r>
            <w:r w:rsidR="008F0CD3" w:rsidRPr="008704BA">
              <w:rPr>
                <w:rFonts w:cstheme="minorHAnsi"/>
                <w:noProof/>
                <w:webHidden/>
              </w:rPr>
              <w:fldChar w:fldCharType="end"/>
            </w:r>
          </w:hyperlink>
        </w:p>
        <w:p w14:paraId="3E14C427" w14:textId="5C6E01B0" w:rsidR="008F0CD3" w:rsidRPr="008704BA" w:rsidRDefault="00C96182">
          <w:pPr>
            <w:pStyle w:val="TOC1"/>
            <w:tabs>
              <w:tab w:val="right" w:leader="dot" w:pos="8296"/>
            </w:tabs>
            <w:rPr>
              <w:rFonts w:cstheme="minorHAnsi"/>
              <w:noProof/>
              <w:kern w:val="2"/>
              <w:sz w:val="24"/>
            </w:rPr>
          </w:pPr>
          <w:hyperlink w:anchor="_Toc106234008" w:history="1">
            <w:r w:rsidR="008F0CD3" w:rsidRPr="008704BA">
              <w:rPr>
                <w:rStyle w:val="Hyperlink"/>
                <w:rFonts w:cstheme="minorHAnsi"/>
                <w:noProof/>
              </w:rPr>
              <w:t>Section 4 Metrics and Targets</w:t>
            </w:r>
            <w:r w:rsidR="008F0CD3" w:rsidRPr="008704BA">
              <w:rPr>
                <w:rFonts w:cstheme="minorHAnsi"/>
                <w:noProof/>
                <w:webHidden/>
              </w:rPr>
              <w:tab/>
            </w:r>
            <w:r w:rsidR="008F0CD3" w:rsidRPr="008704BA">
              <w:rPr>
                <w:rFonts w:cstheme="minorHAnsi"/>
                <w:noProof/>
                <w:webHidden/>
              </w:rPr>
              <w:fldChar w:fldCharType="begin"/>
            </w:r>
            <w:r w:rsidR="008F0CD3" w:rsidRPr="008704BA">
              <w:rPr>
                <w:rFonts w:cstheme="minorHAnsi"/>
                <w:noProof/>
                <w:webHidden/>
              </w:rPr>
              <w:instrText xml:space="preserve"> PAGEREF _Toc106234008 \h </w:instrText>
            </w:r>
            <w:r w:rsidR="008F0CD3" w:rsidRPr="008704BA">
              <w:rPr>
                <w:rFonts w:cstheme="minorHAnsi"/>
                <w:noProof/>
                <w:webHidden/>
              </w:rPr>
            </w:r>
            <w:r w:rsidR="008F0CD3" w:rsidRPr="008704BA">
              <w:rPr>
                <w:rFonts w:cstheme="minorHAnsi"/>
                <w:noProof/>
                <w:webHidden/>
              </w:rPr>
              <w:fldChar w:fldCharType="separate"/>
            </w:r>
            <w:r w:rsidR="008F0CD3" w:rsidRPr="008704BA">
              <w:rPr>
                <w:rFonts w:cstheme="minorHAnsi"/>
                <w:noProof/>
                <w:webHidden/>
              </w:rPr>
              <w:t>9</w:t>
            </w:r>
            <w:r w:rsidR="008F0CD3" w:rsidRPr="008704BA">
              <w:rPr>
                <w:rFonts w:cstheme="minorHAnsi"/>
                <w:noProof/>
                <w:webHidden/>
              </w:rPr>
              <w:fldChar w:fldCharType="end"/>
            </w:r>
          </w:hyperlink>
        </w:p>
        <w:p w14:paraId="3DB5ED0D" w14:textId="415F780C" w:rsidR="008F0CD3" w:rsidRPr="008704BA" w:rsidRDefault="00C96182">
          <w:pPr>
            <w:pStyle w:val="TOC2"/>
            <w:tabs>
              <w:tab w:val="right" w:leader="dot" w:pos="8296"/>
            </w:tabs>
            <w:rPr>
              <w:rFonts w:cstheme="minorHAnsi"/>
              <w:noProof/>
              <w:kern w:val="2"/>
              <w:sz w:val="24"/>
            </w:rPr>
          </w:pPr>
          <w:hyperlink w:anchor="_Toc106234009" w:history="1">
            <w:r w:rsidR="008F0CD3" w:rsidRPr="008704BA">
              <w:rPr>
                <w:rStyle w:val="Hyperlink"/>
                <w:rFonts w:cstheme="minorHAnsi"/>
                <w:noProof/>
              </w:rPr>
              <w:t>4.1 Review of Existing High Environmental Risk Cases</w:t>
            </w:r>
            <w:r w:rsidR="008F0CD3" w:rsidRPr="008704BA">
              <w:rPr>
                <w:rFonts w:cstheme="minorHAnsi"/>
                <w:noProof/>
                <w:webHidden/>
              </w:rPr>
              <w:tab/>
            </w:r>
            <w:r w:rsidR="008F0CD3" w:rsidRPr="008704BA">
              <w:rPr>
                <w:rFonts w:cstheme="minorHAnsi"/>
                <w:noProof/>
                <w:webHidden/>
              </w:rPr>
              <w:fldChar w:fldCharType="begin"/>
            </w:r>
            <w:r w:rsidR="008F0CD3" w:rsidRPr="008704BA">
              <w:rPr>
                <w:rFonts w:cstheme="minorHAnsi"/>
                <w:noProof/>
                <w:webHidden/>
              </w:rPr>
              <w:instrText xml:space="preserve"> PAGEREF _Toc106234009 \h </w:instrText>
            </w:r>
            <w:r w:rsidR="008F0CD3" w:rsidRPr="008704BA">
              <w:rPr>
                <w:rFonts w:cstheme="minorHAnsi"/>
                <w:noProof/>
                <w:webHidden/>
              </w:rPr>
            </w:r>
            <w:r w:rsidR="008F0CD3" w:rsidRPr="008704BA">
              <w:rPr>
                <w:rFonts w:cstheme="minorHAnsi"/>
                <w:noProof/>
                <w:webHidden/>
              </w:rPr>
              <w:fldChar w:fldCharType="separate"/>
            </w:r>
            <w:r w:rsidR="008F0CD3" w:rsidRPr="008704BA">
              <w:rPr>
                <w:rFonts w:cstheme="minorHAnsi"/>
                <w:noProof/>
                <w:webHidden/>
              </w:rPr>
              <w:t>9</w:t>
            </w:r>
            <w:r w:rsidR="008F0CD3" w:rsidRPr="008704BA">
              <w:rPr>
                <w:rFonts w:cstheme="minorHAnsi"/>
                <w:noProof/>
                <w:webHidden/>
              </w:rPr>
              <w:fldChar w:fldCharType="end"/>
            </w:r>
          </w:hyperlink>
        </w:p>
        <w:p w14:paraId="0753E03F" w14:textId="3E73DC65" w:rsidR="008F0CD3" w:rsidRPr="008704BA" w:rsidRDefault="00C96182">
          <w:pPr>
            <w:pStyle w:val="TOC2"/>
            <w:tabs>
              <w:tab w:val="right" w:leader="dot" w:pos="8296"/>
            </w:tabs>
            <w:rPr>
              <w:rFonts w:cstheme="minorHAnsi"/>
              <w:noProof/>
              <w:kern w:val="2"/>
              <w:sz w:val="24"/>
            </w:rPr>
          </w:pPr>
          <w:hyperlink w:anchor="_Toc106234010" w:history="1">
            <w:r w:rsidR="008F0CD3" w:rsidRPr="008704BA">
              <w:rPr>
                <w:rStyle w:val="Hyperlink"/>
                <w:rFonts w:cstheme="minorHAnsi"/>
                <w:noProof/>
              </w:rPr>
              <w:t>4.2 Results of Climate Scenario Analysis and Stress Testing</w:t>
            </w:r>
            <w:r w:rsidR="008F0CD3" w:rsidRPr="008704BA">
              <w:rPr>
                <w:rFonts w:cstheme="minorHAnsi"/>
                <w:noProof/>
                <w:webHidden/>
              </w:rPr>
              <w:tab/>
            </w:r>
            <w:r w:rsidR="008F0CD3" w:rsidRPr="008704BA">
              <w:rPr>
                <w:rFonts w:cstheme="minorHAnsi"/>
                <w:noProof/>
                <w:webHidden/>
              </w:rPr>
              <w:fldChar w:fldCharType="begin"/>
            </w:r>
            <w:r w:rsidR="008F0CD3" w:rsidRPr="008704BA">
              <w:rPr>
                <w:rFonts w:cstheme="minorHAnsi"/>
                <w:noProof/>
                <w:webHidden/>
              </w:rPr>
              <w:instrText xml:space="preserve"> PAGEREF _Toc106234010 \h </w:instrText>
            </w:r>
            <w:r w:rsidR="008F0CD3" w:rsidRPr="008704BA">
              <w:rPr>
                <w:rFonts w:cstheme="minorHAnsi"/>
                <w:noProof/>
                <w:webHidden/>
              </w:rPr>
            </w:r>
            <w:r w:rsidR="008F0CD3" w:rsidRPr="008704BA">
              <w:rPr>
                <w:rFonts w:cstheme="minorHAnsi"/>
                <w:noProof/>
                <w:webHidden/>
              </w:rPr>
              <w:fldChar w:fldCharType="separate"/>
            </w:r>
            <w:r w:rsidR="008F0CD3" w:rsidRPr="008704BA">
              <w:rPr>
                <w:rFonts w:cstheme="minorHAnsi"/>
                <w:noProof/>
                <w:webHidden/>
              </w:rPr>
              <w:t>11</w:t>
            </w:r>
            <w:r w:rsidR="008F0CD3" w:rsidRPr="008704BA">
              <w:rPr>
                <w:rFonts w:cstheme="minorHAnsi"/>
                <w:noProof/>
                <w:webHidden/>
              </w:rPr>
              <w:fldChar w:fldCharType="end"/>
            </w:r>
          </w:hyperlink>
        </w:p>
        <w:p w14:paraId="37CE802B" w14:textId="75E6C4F4" w:rsidR="008F0CD3" w:rsidRPr="008704BA" w:rsidRDefault="00C96182">
          <w:pPr>
            <w:pStyle w:val="TOC1"/>
            <w:tabs>
              <w:tab w:val="right" w:leader="dot" w:pos="8296"/>
            </w:tabs>
            <w:rPr>
              <w:rFonts w:cstheme="minorHAnsi"/>
              <w:noProof/>
              <w:kern w:val="2"/>
              <w:sz w:val="24"/>
            </w:rPr>
          </w:pPr>
          <w:hyperlink w:anchor="_Toc106234011" w:history="1">
            <w:r w:rsidR="008F0CD3" w:rsidRPr="008704BA">
              <w:rPr>
                <w:rStyle w:val="Hyperlink"/>
                <w:rFonts w:cstheme="minorHAnsi"/>
                <w:noProof/>
              </w:rPr>
              <w:t>Section 5 Looking Forward</w:t>
            </w:r>
            <w:r w:rsidR="008F0CD3" w:rsidRPr="008704BA">
              <w:rPr>
                <w:rFonts w:cstheme="minorHAnsi"/>
                <w:noProof/>
                <w:webHidden/>
              </w:rPr>
              <w:tab/>
            </w:r>
            <w:r w:rsidR="008F0CD3" w:rsidRPr="008704BA">
              <w:rPr>
                <w:rFonts w:cstheme="minorHAnsi"/>
                <w:noProof/>
                <w:webHidden/>
              </w:rPr>
              <w:fldChar w:fldCharType="begin"/>
            </w:r>
            <w:r w:rsidR="008F0CD3" w:rsidRPr="008704BA">
              <w:rPr>
                <w:rFonts w:cstheme="minorHAnsi"/>
                <w:noProof/>
                <w:webHidden/>
              </w:rPr>
              <w:instrText xml:space="preserve"> PAGEREF _Toc106234011 \h </w:instrText>
            </w:r>
            <w:r w:rsidR="008F0CD3" w:rsidRPr="008704BA">
              <w:rPr>
                <w:rFonts w:cstheme="minorHAnsi"/>
                <w:noProof/>
                <w:webHidden/>
              </w:rPr>
            </w:r>
            <w:r w:rsidR="008F0CD3" w:rsidRPr="008704BA">
              <w:rPr>
                <w:rFonts w:cstheme="minorHAnsi"/>
                <w:noProof/>
                <w:webHidden/>
              </w:rPr>
              <w:fldChar w:fldCharType="separate"/>
            </w:r>
            <w:r w:rsidR="008F0CD3" w:rsidRPr="008704BA">
              <w:rPr>
                <w:rFonts w:cstheme="minorHAnsi"/>
                <w:noProof/>
                <w:webHidden/>
              </w:rPr>
              <w:t>15</w:t>
            </w:r>
            <w:r w:rsidR="008F0CD3" w:rsidRPr="008704BA">
              <w:rPr>
                <w:rFonts w:cstheme="minorHAnsi"/>
                <w:noProof/>
                <w:webHidden/>
              </w:rPr>
              <w:fldChar w:fldCharType="end"/>
            </w:r>
          </w:hyperlink>
        </w:p>
        <w:p w14:paraId="7718E452" w14:textId="0817BCB4" w:rsidR="00EB58CA" w:rsidRPr="008704BA" w:rsidRDefault="00EB58CA" w:rsidP="00EB58CA">
          <w:pPr>
            <w:rPr>
              <w:rFonts w:cstheme="minorHAnsi"/>
            </w:rPr>
          </w:pPr>
          <w:r w:rsidRPr="008704BA">
            <w:rPr>
              <w:rFonts w:cstheme="minorHAnsi"/>
              <w:b/>
              <w:bCs/>
              <w:lang w:val="zh-TW"/>
            </w:rPr>
            <w:fldChar w:fldCharType="end"/>
          </w:r>
        </w:p>
      </w:sdtContent>
    </w:sdt>
    <w:p w14:paraId="0BE14C7B" w14:textId="52EFF6C3" w:rsidR="00171C32" w:rsidRPr="008704BA" w:rsidRDefault="00A46A29" w:rsidP="00F43A94">
      <w:pPr>
        <w:pStyle w:val="Heading1"/>
        <w:rPr>
          <w:rFonts w:asciiTheme="minorHAnsi" w:hAnsiTheme="minorHAnsi" w:cstheme="minorHAnsi"/>
        </w:rPr>
      </w:pPr>
      <w:bookmarkStart w:id="0" w:name="_Toc106234001"/>
      <w:r w:rsidRPr="008704BA">
        <w:rPr>
          <w:rFonts w:asciiTheme="minorHAnsi" w:hAnsiTheme="minorHAnsi" w:cstheme="minorHAnsi"/>
        </w:rPr>
        <w:lastRenderedPageBreak/>
        <w:t>Section</w:t>
      </w:r>
      <w:r w:rsidR="0039039E" w:rsidRPr="008704BA">
        <w:rPr>
          <w:rFonts w:asciiTheme="minorHAnsi" w:hAnsiTheme="minorHAnsi" w:cstheme="minorHAnsi"/>
        </w:rPr>
        <w:t xml:space="preserve"> </w:t>
      </w:r>
      <w:r w:rsidRPr="008704BA">
        <w:rPr>
          <w:rFonts w:asciiTheme="minorHAnsi" w:hAnsiTheme="minorHAnsi" w:cstheme="minorHAnsi"/>
        </w:rPr>
        <w:t>1 Introduction</w:t>
      </w:r>
      <w:bookmarkEnd w:id="0"/>
    </w:p>
    <w:p w14:paraId="743D9C3B" w14:textId="1BFD029E" w:rsidR="00171C32" w:rsidRPr="008704BA" w:rsidRDefault="00CF437F" w:rsidP="004A5EAA">
      <w:pPr>
        <w:jc w:val="both"/>
        <w:rPr>
          <w:rFonts w:cstheme="minorHAnsi"/>
        </w:rPr>
      </w:pPr>
      <w:r w:rsidRPr="008704BA">
        <w:rPr>
          <w:rFonts w:cstheme="minorHAnsi"/>
        </w:rPr>
        <w:t>The Land Bank of Taiwan, Singapore Branch (L</w:t>
      </w:r>
      <w:r w:rsidR="00077669" w:rsidRPr="008704BA">
        <w:rPr>
          <w:rFonts w:cstheme="minorHAnsi"/>
        </w:rPr>
        <w:t>BO</w:t>
      </w:r>
      <w:r w:rsidRPr="008704BA">
        <w:rPr>
          <w:rFonts w:cstheme="minorHAnsi"/>
        </w:rPr>
        <w:t xml:space="preserve">TS) recognizes that </w:t>
      </w:r>
      <w:r w:rsidR="00572AEA" w:rsidRPr="008704BA">
        <w:rPr>
          <w:rFonts w:cstheme="minorHAnsi"/>
        </w:rPr>
        <w:t>climate</w:t>
      </w:r>
      <w:r w:rsidRPr="008704BA">
        <w:rPr>
          <w:rFonts w:cstheme="minorHAnsi"/>
        </w:rPr>
        <w:t xml:space="preserve"> change is the biggest environmental challenge facing society, businesses and the economy.</w:t>
      </w:r>
      <w:r w:rsidR="00DE3137" w:rsidRPr="008704BA">
        <w:rPr>
          <w:rFonts w:cstheme="minorHAnsi"/>
        </w:rPr>
        <w:t xml:space="preserve"> </w:t>
      </w:r>
      <w:r w:rsidR="00CF2512" w:rsidRPr="008704BA">
        <w:rPr>
          <w:rFonts w:cstheme="minorHAnsi"/>
        </w:rPr>
        <w:t xml:space="preserve">As a result, businesses, investors and market participants around the world must </w:t>
      </w:r>
      <w:r w:rsidR="00587FA2" w:rsidRPr="008704BA">
        <w:rPr>
          <w:rFonts w:cstheme="minorHAnsi"/>
        </w:rPr>
        <w:t>face</w:t>
      </w:r>
      <w:r w:rsidR="00CF2512" w:rsidRPr="008704BA">
        <w:rPr>
          <w:rFonts w:cstheme="minorHAnsi"/>
        </w:rPr>
        <w:t xml:space="preserve"> </w:t>
      </w:r>
      <w:r w:rsidR="00886EB6" w:rsidRPr="008704BA">
        <w:rPr>
          <w:rFonts w:cstheme="minorHAnsi"/>
        </w:rPr>
        <w:t>several</w:t>
      </w:r>
      <w:r w:rsidR="00CF2512" w:rsidRPr="008704BA">
        <w:rPr>
          <w:rFonts w:cstheme="minorHAnsi"/>
        </w:rPr>
        <w:t xml:space="preserve"> short- and long-term climate-related risks.</w:t>
      </w:r>
    </w:p>
    <w:p w14:paraId="41B650D9" w14:textId="77777777" w:rsidR="0090223D" w:rsidRPr="008704BA" w:rsidRDefault="0090223D" w:rsidP="004A5EAA">
      <w:pPr>
        <w:jc w:val="both"/>
        <w:rPr>
          <w:rFonts w:cstheme="minorHAnsi"/>
        </w:rPr>
      </w:pPr>
    </w:p>
    <w:p w14:paraId="0E9435EC" w14:textId="4BDE5C7F" w:rsidR="00164D8A" w:rsidRPr="008704BA" w:rsidRDefault="00A05439" w:rsidP="005D3BF1">
      <w:pPr>
        <w:jc w:val="both"/>
        <w:rPr>
          <w:rFonts w:cstheme="minorHAnsi"/>
        </w:rPr>
      </w:pPr>
      <w:r w:rsidRPr="008704BA">
        <w:rPr>
          <w:rFonts w:cstheme="minorHAnsi"/>
        </w:rPr>
        <w:t>LBOTS</w:t>
      </w:r>
      <w:r w:rsidR="00A906FE" w:rsidRPr="008704BA">
        <w:rPr>
          <w:rFonts w:cstheme="minorHAnsi"/>
        </w:rPr>
        <w:t xml:space="preserve"> supports</w:t>
      </w:r>
      <w:r w:rsidR="0087358C" w:rsidRPr="008704BA">
        <w:rPr>
          <w:rFonts w:cstheme="minorHAnsi"/>
        </w:rPr>
        <w:t xml:space="preserve"> the Guidelines on Environmental Risk Management for Banks</w:t>
      </w:r>
      <w:r w:rsidR="00BB386A" w:rsidRPr="008704BA">
        <w:rPr>
          <w:rFonts w:cstheme="minorHAnsi"/>
        </w:rPr>
        <w:t xml:space="preserve"> (E</w:t>
      </w:r>
      <w:r w:rsidR="00F8273B" w:rsidRPr="008704BA">
        <w:rPr>
          <w:rFonts w:cstheme="minorHAnsi"/>
        </w:rPr>
        <w:t>N</w:t>
      </w:r>
      <w:r w:rsidR="00BB386A" w:rsidRPr="008704BA">
        <w:rPr>
          <w:rFonts w:cstheme="minorHAnsi"/>
        </w:rPr>
        <w:t>RM Guidelines)</w:t>
      </w:r>
      <w:r w:rsidR="0087358C" w:rsidRPr="008704BA">
        <w:rPr>
          <w:rFonts w:cstheme="minorHAnsi"/>
        </w:rPr>
        <w:t xml:space="preserve"> promulgated by the Monetary Authority of Singapore (MAS)</w:t>
      </w:r>
      <w:r w:rsidR="00A906FE" w:rsidRPr="008704BA">
        <w:rPr>
          <w:rFonts w:cstheme="minorHAnsi"/>
        </w:rPr>
        <w:t xml:space="preserve"> on environmental risk management for banks, making </w:t>
      </w:r>
      <w:r w:rsidR="00A55D09" w:rsidRPr="008704BA">
        <w:rPr>
          <w:rFonts w:cstheme="minorHAnsi"/>
        </w:rPr>
        <w:t>environment</w:t>
      </w:r>
      <w:r w:rsidR="00AC10E0" w:rsidRPr="008704BA">
        <w:rPr>
          <w:rFonts w:cstheme="minorHAnsi"/>
        </w:rPr>
        <w:t>al</w:t>
      </w:r>
      <w:r w:rsidR="00A55D09" w:rsidRPr="008704BA">
        <w:rPr>
          <w:rFonts w:cstheme="minorHAnsi"/>
        </w:rPr>
        <w:t xml:space="preserve"> </w:t>
      </w:r>
      <w:r w:rsidR="00A906FE" w:rsidRPr="008704BA">
        <w:rPr>
          <w:rFonts w:cstheme="minorHAnsi"/>
        </w:rPr>
        <w:t>action</w:t>
      </w:r>
      <w:r w:rsidR="000F3677" w:rsidRPr="008704BA">
        <w:rPr>
          <w:rFonts w:cstheme="minorHAnsi"/>
        </w:rPr>
        <w:t xml:space="preserve"> and sustainability work</w:t>
      </w:r>
      <w:r w:rsidR="00A906FE" w:rsidRPr="008704BA">
        <w:rPr>
          <w:rFonts w:cstheme="minorHAnsi"/>
        </w:rPr>
        <w:t xml:space="preserve"> the focus of our </w:t>
      </w:r>
      <w:r w:rsidR="000F614A" w:rsidRPr="008704BA">
        <w:rPr>
          <w:rFonts w:cstheme="minorHAnsi"/>
        </w:rPr>
        <w:t>daily financing</w:t>
      </w:r>
      <w:r w:rsidR="00A906FE" w:rsidRPr="008704BA">
        <w:rPr>
          <w:rFonts w:cstheme="minorHAnsi"/>
        </w:rPr>
        <w:t>.</w:t>
      </w:r>
    </w:p>
    <w:p w14:paraId="60CCE983" w14:textId="77777777" w:rsidR="00813381" w:rsidRPr="008704BA" w:rsidRDefault="00813381" w:rsidP="005D3BF1">
      <w:pPr>
        <w:jc w:val="both"/>
        <w:rPr>
          <w:rFonts w:cstheme="minorHAnsi"/>
        </w:rPr>
      </w:pPr>
    </w:p>
    <w:p w14:paraId="0ABDE423" w14:textId="43AC194E" w:rsidR="00535632" w:rsidRPr="008704BA" w:rsidRDefault="00077669" w:rsidP="00ED569A">
      <w:pPr>
        <w:jc w:val="both"/>
        <w:rPr>
          <w:rFonts w:cstheme="minorHAnsi"/>
        </w:rPr>
      </w:pPr>
      <w:r w:rsidRPr="008704BA">
        <w:rPr>
          <w:rFonts w:cstheme="minorHAnsi"/>
        </w:rPr>
        <w:t xml:space="preserve">The </w:t>
      </w:r>
      <w:r w:rsidR="00524824" w:rsidRPr="008704BA">
        <w:rPr>
          <w:rFonts w:cstheme="minorHAnsi"/>
        </w:rPr>
        <w:t>disclosure</w:t>
      </w:r>
      <w:r w:rsidRPr="008704BA">
        <w:rPr>
          <w:rFonts w:cstheme="minorHAnsi"/>
        </w:rPr>
        <w:t xml:space="preserve"> structure of this report</w:t>
      </w:r>
      <w:r w:rsidR="00524824" w:rsidRPr="008704BA">
        <w:rPr>
          <w:rFonts w:cstheme="minorHAnsi"/>
        </w:rPr>
        <w:t xml:space="preserve"> refer</w:t>
      </w:r>
      <w:r w:rsidRPr="008704BA">
        <w:rPr>
          <w:rFonts w:cstheme="minorHAnsi"/>
        </w:rPr>
        <w:t>s</w:t>
      </w:r>
      <w:r w:rsidR="00524824" w:rsidRPr="008704BA">
        <w:rPr>
          <w:rFonts w:cstheme="minorHAnsi"/>
        </w:rPr>
        <w:t xml:space="preserve"> to the Financial Stability Board's </w:t>
      </w:r>
      <w:r w:rsidR="00B24CB4" w:rsidRPr="00B24CB4">
        <w:rPr>
          <w:rFonts w:cstheme="minorHAnsi"/>
        </w:rPr>
        <w:t>Task Force on Climate-Related Financial Disclosures</w:t>
      </w:r>
      <w:r w:rsidR="00524824" w:rsidRPr="008704BA">
        <w:rPr>
          <w:rFonts w:cstheme="minorHAnsi"/>
        </w:rPr>
        <w:t xml:space="preserve"> (TCFD) Pillar Working Group. This </w:t>
      </w:r>
      <w:r w:rsidR="00253B2E" w:rsidRPr="008704BA">
        <w:rPr>
          <w:rFonts w:cstheme="minorHAnsi"/>
        </w:rPr>
        <w:t>inaugural</w:t>
      </w:r>
      <w:r w:rsidR="00524824" w:rsidRPr="008704BA">
        <w:rPr>
          <w:rFonts w:cstheme="minorHAnsi"/>
        </w:rPr>
        <w:t xml:space="preserve"> environmental risk disclosure report outlines </w:t>
      </w:r>
      <w:r w:rsidR="00A05439" w:rsidRPr="008704BA">
        <w:rPr>
          <w:rFonts w:cstheme="minorHAnsi"/>
        </w:rPr>
        <w:t>LBOTS</w:t>
      </w:r>
      <w:r w:rsidR="00524824" w:rsidRPr="008704BA">
        <w:rPr>
          <w:rFonts w:cstheme="minorHAnsi"/>
        </w:rPr>
        <w:t>’s overall approach to governance, strategy, risk management, and key metrics and objectives related to environmental-related risks and opportunities.</w:t>
      </w:r>
    </w:p>
    <w:p w14:paraId="4D59065F" w14:textId="4CEFD3EA" w:rsidR="00665BDE" w:rsidRPr="008704BA" w:rsidRDefault="00A46A29" w:rsidP="00F43A94">
      <w:pPr>
        <w:pStyle w:val="Heading1"/>
        <w:rPr>
          <w:rFonts w:asciiTheme="minorHAnsi" w:hAnsiTheme="minorHAnsi" w:cstheme="minorHAnsi"/>
        </w:rPr>
      </w:pPr>
      <w:bookmarkStart w:id="1" w:name="_Toc106234002"/>
      <w:r w:rsidRPr="008704BA">
        <w:rPr>
          <w:rFonts w:asciiTheme="minorHAnsi" w:hAnsiTheme="minorHAnsi" w:cstheme="minorHAnsi"/>
        </w:rPr>
        <w:t>Section</w:t>
      </w:r>
      <w:r w:rsidR="0039039E" w:rsidRPr="008704BA">
        <w:rPr>
          <w:rFonts w:asciiTheme="minorHAnsi" w:hAnsiTheme="minorHAnsi" w:cstheme="minorHAnsi"/>
        </w:rPr>
        <w:t xml:space="preserve"> </w:t>
      </w:r>
      <w:r w:rsidRPr="008704BA">
        <w:rPr>
          <w:rFonts w:asciiTheme="minorHAnsi" w:hAnsiTheme="minorHAnsi" w:cstheme="minorHAnsi"/>
        </w:rPr>
        <w:t>2 Governance and Strategy</w:t>
      </w:r>
      <w:bookmarkEnd w:id="1"/>
    </w:p>
    <w:p w14:paraId="33BDE9F5" w14:textId="1A5D9204" w:rsidR="00A46A29" w:rsidRPr="008704BA" w:rsidRDefault="00A46A29" w:rsidP="00E72157">
      <w:pPr>
        <w:jc w:val="both"/>
        <w:rPr>
          <w:rFonts w:cstheme="minorHAnsi"/>
        </w:rPr>
      </w:pPr>
      <w:r w:rsidRPr="008704BA">
        <w:rPr>
          <w:rFonts w:cstheme="minorHAnsi"/>
        </w:rPr>
        <w:t>This section outlines the LBOT</w:t>
      </w:r>
      <w:r w:rsidR="00E81AE1" w:rsidRPr="008704BA">
        <w:rPr>
          <w:rFonts w:cstheme="minorHAnsi"/>
        </w:rPr>
        <w:t>S</w:t>
      </w:r>
      <w:r w:rsidRPr="008704BA">
        <w:rPr>
          <w:rFonts w:cstheme="minorHAnsi"/>
        </w:rPr>
        <w:t xml:space="preserve"> Board of Directors (“Board”) and Senior Management’s governance framework </w:t>
      </w:r>
      <w:r w:rsidR="00CD0ADC" w:rsidRPr="008704BA">
        <w:rPr>
          <w:rFonts w:cstheme="minorHAnsi"/>
        </w:rPr>
        <w:t>and responsibilities in environmental risk management</w:t>
      </w:r>
      <w:r w:rsidRPr="008704BA">
        <w:rPr>
          <w:rFonts w:cstheme="minorHAnsi"/>
        </w:rPr>
        <w:t>.</w:t>
      </w:r>
      <w:r w:rsidR="00665BDE" w:rsidRPr="008704BA">
        <w:rPr>
          <w:rFonts w:eastAsia="標楷體" w:cstheme="minorHAnsi"/>
          <w:kern w:val="0"/>
        </w:rPr>
        <w:t xml:space="preserve"> The Board and Senior Management shall play critical roles in environmental risk management. The Board and Senior Management shall assess the impact of related risks and opportunities on the Bank's overall risk appetite and operational strategy to the objectives set out under international agreements such as the Paris Agreement and national policies</w:t>
      </w:r>
      <w:r w:rsidR="009871F9" w:rsidRPr="008704BA">
        <w:rPr>
          <w:rFonts w:eastAsia="標楷體" w:cstheme="minorHAnsi"/>
          <w:kern w:val="0"/>
        </w:rPr>
        <w:t xml:space="preserve">, such as </w:t>
      </w:r>
      <w:r w:rsidR="00A03EFF" w:rsidRPr="008704BA">
        <w:rPr>
          <w:rFonts w:eastAsia="標楷體" w:cstheme="minorHAnsi"/>
          <w:kern w:val="0"/>
        </w:rPr>
        <w:t xml:space="preserve">the </w:t>
      </w:r>
      <w:r w:rsidR="009871F9" w:rsidRPr="008704BA">
        <w:rPr>
          <w:rFonts w:eastAsia="標楷體" w:cstheme="minorHAnsi"/>
          <w:kern w:val="0"/>
        </w:rPr>
        <w:t>ENRM Guidelines</w:t>
      </w:r>
      <w:r w:rsidR="00665BDE" w:rsidRPr="008704BA">
        <w:rPr>
          <w:rFonts w:eastAsia="標楷體" w:cstheme="minorHAnsi"/>
          <w:kern w:val="0"/>
        </w:rPr>
        <w:t xml:space="preserve">. </w:t>
      </w:r>
    </w:p>
    <w:p w14:paraId="4D09BD50" w14:textId="77777777" w:rsidR="00CD0ADC" w:rsidRDefault="00CD0ADC" w:rsidP="00E72157">
      <w:pPr>
        <w:jc w:val="both"/>
        <w:rPr>
          <w:rFonts w:cstheme="minorHAnsi"/>
        </w:rPr>
      </w:pPr>
    </w:p>
    <w:p w14:paraId="0CFB5B36" w14:textId="3C1E332C" w:rsidR="004A50FA" w:rsidRPr="00866195" w:rsidRDefault="004A50FA" w:rsidP="004A50FA">
      <w:pPr>
        <w:jc w:val="both"/>
        <w:rPr>
          <w:color w:val="FF0000"/>
          <w:szCs w:val="24"/>
        </w:rPr>
      </w:pPr>
      <w:r w:rsidRPr="00866195">
        <w:rPr>
          <w:rFonts w:eastAsia="標楷體" w:cstheme="minorHAnsi"/>
          <w:szCs w:val="24"/>
        </w:rPr>
        <w:t>The Board is ultimately responsible for the bank in environmental risk management.</w:t>
      </w:r>
      <w:r w:rsidRPr="00866195">
        <w:rPr>
          <w:color w:val="FF0000"/>
          <w:szCs w:val="24"/>
        </w:rPr>
        <w:t xml:space="preserve"> </w:t>
      </w:r>
      <w:r w:rsidRPr="00C96182">
        <w:rPr>
          <w:szCs w:val="24"/>
        </w:rPr>
        <w:t xml:space="preserve">The Board has appointed a General Manager who primarily resides in Singapore, to be responsible for overseeing the local operations to ensure </w:t>
      </w:r>
      <w:r w:rsidR="009549AA" w:rsidRPr="00C96182">
        <w:rPr>
          <w:rFonts w:hint="eastAsia"/>
          <w:szCs w:val="24"/>
        </w:rPr>
        <w:t xml:space="preserve">the </w:t>
      </w:r>
      <w:r w:rsidRPr="00C96182">
        <w:rPr>
          <w:szCs w:val="24"/>
        </w:rPr>
        <w:t>sound b</w:t>
      </w:r>
      <w:bookmarkStart w:id="2" w:name="_GoBack"/>
      <w:bookmarkEnd w:id="2"/>
      <w:r w:rsidRPr="00C96182">
        <w:rPr>
          <w:szCs w:val="24"/>
        </w:rPr>
        <w:t xml:space="preserve">usiness operation and proper conduct in the Singapore environment. The General Manager operates under the delegation provided by </w:t>
      </w:r>
      <w:r w:rsidR="009549AA" w:rsidRPr="00C96182">
        <w:rPr>
          <w:szCs w:val="24"/>
        </w:rPr>
        <w:t xml:space="preserve">the </w:t>
      </w:r>
      <w:r w:rsidRPr="00C96182">
        <w:rPr>
          <w:szCs w:val="24"/>
        </w:rPr>
        <w:t>Board and mandates the responsibilities for the Bank Environmental Risk Management.</w:t>
      </w:r>
    </w:p>
    <w:p w14:paraId="22240108" w14:textId="77777777" w:rsidR="00665BDE" w:rsidRPr="008704BA" w:rsidRDefault="00665BDE" w:rsidP="00E72157">
      <w:pPr>
        <w:jc w:val="both"/>
        <w:rPr>
          <w:rFonts w:eastAsia="標楷體" w:cstheme="minorHAnsi"/>
          <w:kern w:val="0"/>
        </w:rPr>
      </w:pPr>
    </w:p>
    <w:p w14:paraId="21F42008" w14:textId="0B94F667" w:rsidR="00665BDE" w:rsidRPr="008704BA" w:rsidRDefault="00665BDE" w:rsidP="00E72157">
      <w:pPr>
        <w:jc w:val="both"/>
        <w:rPr>
          <w:rFonts w:cstheme="minorHAnsi"/>
        </w:rPr>
      </w:pPr>
      <w:r w:rsidRPr="008704BA">
        <w:rPr>
          <w:rFonts w:cstheme="minorHAnsi"/>
        </w:rPr>
        <w:t xml:space="preserve">The Senior Management </w:t>
      </w:r>
      <w:r w:rsidR="00665A11" w:rsidRPr="008704BA">
        <w:rPr>
          <w:rFonts w:cstheme="minorHAnsi"/>
        </w:rPr>
        <w:t xml:space="preserve">of </w:t>
      </w:r>
      <w:r w:rsidR="00AB7562" w:rsidRPr="008704BA">
        <w:rPr>
          <w:rFonts w:cstheme="minorHAnsi"/>
        </w:rPr>
        <w:t>LBOTS</w:t>
      </w:r>
      <w:r w:rsidR="00C157DD">
        <w:rPr>
          <w:rFonts w:cstheme="minorHAnsi"/>
        </w:rPr>
        <w:t xml:space="preserve"> </w:t>
      </w:r>
      <w:r w:rsidRPr="008704BA">
        <w:rPr>
          <w:rFonts w:cstheme="minorHAnsi"/>
        </w:rPr>
        <w:t xml:space="preserve">shall develop and implement the environmental risk management framework and policies. </w:t>
      </w:r>
      <w:r w:rsidR="00356670" w:rsidRPr="008704BA">
        <w:rPr>
          <w:rFonts w:cstheme="minorHAnsi"/>
        </w:rPr>
        <w:t>The Senior Management of LBOTS</w:t>
      </w:r>
      <w:r w:rsidR="00356670">
        <w:rPr>
          <w:rFonts w:cstheme="minorHAnsi"/>
        </w:rPr>
        <w:t xml:space="preserve"> shall c</w:t>
      </w:r>
      <w:r w:rsidR="00356670" w:rsidRPr="00B43B73">
        <w:rPr>
          <w:rFonts w:cstheme="minorHAnsi"/>
        </w:rPr>
        <w:t xml:space="preserve">ontinuously </w:t>
      </w:r>
      <w:r w:rsidR="00356670">
        <w:rPr>
          <w:rFonts w:cstheme="minorHAnsi" w:hint="eastAsia"/>
        </w:rPr>
        <w:t>assess</w:t>
      </w:r>
      <w:r w:rsidR="00356670" w:rsidRPr="00B43B73">
        <w:rPr>
          <w:rFonts w:cstheme="minorHAnsi"/>
        </w:rPr>
        <w:t xml:space="preserve"> the Bank's environmental exposure, ensuring that the Bank's risk appetite framework covers material environmental risks.</w:t>
      </w:r>
      <w:r w:rsidR="00356670">
        <w:rPr>
          <w:rFonts w:cstheme="minorHAnsi"/>
        </w:rPr>
        <w:t xml:space="preserve"> </w:t>
      </w:r>
      <w:r w:rsidRPr="008704BA">
        <w:rPr>
          <w:rFonts w:cstheme="minorHAnsi"/>
        </w:rPr>
        <w:t>The Senior Management</w:t>
      </w:r>
      <w:r w:rsidR="00C21DE6" w:rsidRPr="008704BA">
        <w:rPr>
          <w:rFonts w:cstheme="minorHAnsi"/>
        </w:rPr>
        <w:t xml:space="preserve"> of LBOTS</w:t>
      </w:r>
      <w:r w:rsidR="002344E7" w:rsidRPr="008704BA">
        <w:rPr>
          <w:rFonts w:cstheme="minorHAnsi"/>
        </w:rPr>
        <w:t xml:space="preserve"> </w:t>
      </w:r>
      <w:r w:rsidRPr="008704BA">
        <w:rPr>
          <w:rFonts w:cstheme="minorHAnsi"/>
        </w:rPr>
        <w:t xml:space="preserve">is also responsible for periodically reviewing the effectiveness of the framework, policies, tools, and indicators and making appropriate revisions, taking into account changes in the Bank's risk profile and business strategy. If there is a material environmental risk issue, it shall be notified to the </w:t>
      </w:r>
      <w:r w:rsidR="0002308B">
        <w:rPr>
          <w:rFonts w:cstheme="minorHAnsi"/>
        </w:rPr>
        <w:t>Head Office</w:t>
      </w:r>
      <w:r w:rsidR="00C8094B">
        <w:rPr>
          <w:rFonts w:cstheme="minorHAnsi"/>
        </w:rPr>
        <w:t xml:space="preserve"> (H. O.)</w:t>
      </w:r>
      <w:r w:rsidR="0002308B">
        <w:rPr>
          <w:rFonts w:cstheme="minorHAnsi"/>
        </w:rPr>
        <w:t xml:space="preserve"> </w:t>
      </w:r>
      <w:r w:rsidRPr="008704BA">
        <w:rPr>
          <w:rFonts w:cstheme="minorHAnsi"/>
        </w:rPr>
        <w:t>in a timely manner.</w:t>
      </w:r>
      <w:r w:rsidRPr="008704BA">
        <w:rPr>
          <w:rFonts w:eastAsia="標楷體" w:cstheme="minorHAnsi"/>
          <w:kern w:val="0"/>
        </w:rPr>
        <w:t xml:space="preserve"> </w:t>
      </w:r>
      <w:r w:rsidR="009F74D1" w:rsidRPr="008704BA">
        <w:rPr>
          <w:rFonts w:eastAsia="標楷體" w:cstheme="minorHAnsi"/>
          <w:kern w:val="0"/>
        </w:rPr>
        <w:t>In 2022, the Senior Management proposed the environmental risk management policy of LBOTS, clearly defined relevant responsibilities and established a sound environmental risk management system.</w:t>
      </w:r>
    </w:p>
    <w:p w14:paraId="5B156AB4" w14:textId="77777777" w:rsidR="00197B89" w:rsidRPr="008704BA" w:rsidRDefault="00197B89" w:rsidP="00B43B73">
      <w:pPr>
        <w:jc w:val="both"/>
        <w:rPr>
          <w:rFonts w:cstheme="minorHAnsi"/>
        </w:rPr>
      </w:pPr>
    </w:p>
    <w:p w14:paraId="672CCA50" w14:textId="233C18DE" w:rsidR="00665BDE" w:rsidRPr="008704BA" w:rsidRDefault="00665BDE" w:rsidP="00E72157">
      <w:pPr>
        <w:jc w:val="both"/>
        <w:rPr>
          <w:rFonts w:cstheme="minorHAnsi"/>
        </w:rPr>
      </w:pPr>
      <w:r w:rsidRPr="008704BA">
        <w:rPr>
          <w:rFonts w:cstheme="minorHAnsi"/>
        </w:rPr>
        <w:t>LBOT</w:t>
      </w:r>
      <w:r w:rsidR="00E101D8" w:rsidRPr="008704BA">
        <w:rPr>
          <w:rFonts w:cstheme="minorHAnsi"/>
        </w:rPr>
        <w:t>S</w:t>
      </w:r>
      <w:r w:rsidRPr="008704BA">
        <w:rPr>
          <w:rFonts w:cstheme="minorHAnsi"/>
        </w:rPr>
        <w:t xml:space="preserve"> regularly reviews our governance structure with regard to environmental risk management to accelerate and promote the development of finance growth opportunities as we transition to a low-carbon economy.</w:t>
      </w:r>
    </w:p>
    <w:p w14:paraId="1F644D61" w14:textId="77777777" w:rsidR="00830DAF" w:rsidRPr="008704BA" w:rsidRDefault="00830DAF" w:rsidP="00F438D8">
      <w:pPr>
        <w:rPr>
          <w:rFonts w:cstheme="minorHAnsi"/>
        </w:rPr>
      </w:pPr>
    </w:p>
    <w:p w14:paraId="146874E2" w14:textId="593A7DEC" w:rsidR="009A6BF3" w:rsidRPr="008704BA" w:rsidRDefault="00A46A29" w:rsidP="00F43A94">
      <w:pPr>
        <w:pStyle w:val="Heading1"/>
        <w:rPr>
          <w:rFonts w:asciiTheme="minorHAnsi" w:hAnsiTheme="minorHAnsi" w:cstheme="minorHAnsi"/>
        </w:rPr>
      </w:pPr>
      <w:bookmarkStart w:id="3" w:name="_Toc106234003"/>
      <w:r w:rsidRPr="008704BA">
        <w:rPr>
          <w:rFonts w:asciiTheme="minorHAnsi" w:hAnsiTheme="minorHAnsi" w:cstheme="minorHAnsi"/>
        </w:rPr>
        <w:t>Section</w:t>
      </w:r>
      <w:r w:rsidR="00F14D0E" w:rsidRPr="008704BA">
        <w:rPr>
          <w:rFonts w:asciiTheme="minorHAnsi" w:eastAsiaTheme="minorEastAsia" w:hAnsiTheme="minorHAnsi" w:cstheme="minorHAnsi"/>
        </w:rPr>
        <w:t xml:space="preserve"> </w:t>
      </w:r>
      <w:r w:rsidRPr="008704BA">
        <w:rPr>
          <w:rFonts w:asciiTheme="minorHAnsi" w:hAnsiTheme="minorHAnsi" w:cstheme="minorHAnsi"/>
        </w:rPr>
        <w:t>3 Risk Management</w:t>
      </w:r>
      <w:bookmarkEnd w:id="3"/>
    </w:p>
    <w:p w14:paraId="7397BD5D" w14:textId="3CF108E9" w:rsidR="0010349E" w:rsidRPr="008704BA" w:rsidRDefault="00914D73" w:rsidP="00537C0B">
      <w:pPr>
        <w:jc w:val="both"/>
        <w:rPr>
          <w:rFonts w:cstheme="minorHAnsi"/>
        </w:rPr>
      </w:pPr>
      <w:r w:rsidRPr="008704BA">
        <w:rPr>
          <w:rFonts w:cstheme="minorHAnsi"/>
        </w:rPr>
        <w:t>This section provides an overview of LBOT</w:t>
      </w:r>
      <w:r w:rsidR="00E101D8" w:rsidRPr="008704BA">
        <w:rPr>
          <w:rFonts w:cstheme="minorHAnsi"/>
        </w:rPr>
        <w:t>S</w:t>
      </w:r>
      <w:r w:rsidRPr="008704BA">
        <w:rPr>
          <w:rFonts w:cstheme="minorHAnsi"/>
        </w:rPr>
        <w:t xml:space="preserve">’s environmental risk management </w:t>
      </w:r>
      <w:r w:rsidR="00D36D94" w:rsidRPr="008704BA">
        <w:rPr>
          <w:rFonts w:cstheme="minorHAnsi"/>
        </w:rPr>
        <w:t xml:space="preserve">framework and </w:t>
      </w:r>
      <w:r w:rsidRPr="008704BA">
        <w:rPr>
          <w:rFonts w:cstheme="minorHAnsi"/>
        </w:rPr>
        <w:t>process.</w:t>
      </w:r>
    </w:p>
    <w:p w14:paraId="45B31EB6" w14:textId="5324C28B" w:rsidR="004110C7" w:rsidRPr="008704BA" w:rsidRDefault="00C05BFB" w:rsidP="006F1F36">
      <w:pPr>
        <w:pStyle w:val="Heading2"/>
        <w:rPr>
          <w:rFonts w:asciiTheme="minorHAnsi" w:hAnsiTheme="minorHAnsi" w:cstheme="minorHAnsi"/>
        </w:rPr>
      </w:pPr>
      <w:bookmarkStart w:id="4" w:name="_Toc106234004"/>
      <w:r w:rsidRPr="008704BA">
        <w:rPr>
          <w:rFonts w:asciiTheme="minorHAnsi" w:hAnsiTheme="minorHAnsi" w:cstheme="minorHAnsi"/>
        </w:rPr>
        <w:t xml:space="preserve">3.1 </w:t>
      </w:r>
      <w:r w:rsidR="004110C7" w:rsidRPr="008704BA">
        <w:rPr>
          <w:rFonts w:asciiTheme="minorHAnsi" w:hAnsiTheme="minorHAnsi" w:cstheme="minorHAnsi"/>
        </w:rPr>
        <w:t>Environmental Risk Management Framework</w:t>
      </w:r>
      <w:bookmarkEnd w:id="4"/>
    </w:p>
    <w:p w14:paraId="47EEFD86" w14:textId="54BCFDD1" w:rsidR="00C05BFB" w:rsidRPr="008704BA" w:rsidRDefault="00C05BFB" w:rsidP="00537C0B">
      <w:pPr>
        <w:jc w:val="both"/>
        <w:rPr>
          <w:rFonts w:cstheme="minorHAnsi"/>
        </w:rPr>
      </w:pPr>
      <w:r w:rsidRPr="008704BA">
        <w:rPr>
          <w:rFonts w:cstheme="minorHAnsi"/>
        </w:rPr>
        <w:t>Consistent with LBOT</w:t>
      </w:r>
      <w:r w:rsidR="00367238" w:rsidRPr="008704BA">
        <w:rPr>
          <w:rFonts w:cstheme="minorHAnsi"/>
        </w:rPr>
        <w:t>S</w:t>
      </w:r>
      <w:r w:rsidRPr="008704BA">
        <w:rPr>
          <w:rFonts w:cstheme="minorHAnsi"/>
        </w:rPr>
        <w:t>’s overall risk management</w:t>
      </w:r>
      <w:r w:rsidR="004E2D48" w:rsidRPr="008704BA">
        <w:rPr>
          <w:rFonts w:cstheme="minorHAnsi"/>
        </w:rPr>
        <w:t xml:space="preserve"> framework</w:t>
      </w:r>
      <w:r w:rsidRPr="008704BA">
        <w:rPr>
          <w:rFonts w:cstheme="minorHAnsi"/>
        </w:rPr>
        <w:t xml:space="preserve">, we have embedded the Three Lines of </w:t>
      </w:r>
      <w:proofErr w:type="spellStart"/>
      <w:r w:rsidRPr="008704BA">
        <w:rPr>
          <w:rFonts w:cstheme="minorHAnsi"/>
        </w:rPr>
        <w:t>Defence</w:t>
      </w:r>
      <w:proofErr w:type="spellEnd"/>
      <w:r w:rsidRPr="008704BA">
        <w:rPr>
          <w:rFonts w:cstheme="minorHAnsi"/>
        </w:rPr>
        <w:t xml:space="preserve"> Model for </w:t>
      </w:r>
      <w:r w:rsidR="004E2D48" w:rsidRPr="008704BA">
        <w:rPr>
          <w:rFonts w:cstheme="minorHAnsi"/>
        </w:rPr>
        <w:t xml:space="preserve">environmental </w:t>
      </w:r>
      <w:r w:rsidRPr="008704BA">
        <w:rPr>
          <w:rFonts w:cstheme="minorHAnsi"/>
        </w:rPr>
        <w:t>risk management</w:t>
      </w:r>
      <w:r w:rsidR="003B4BE5" w:rsidRPr="008704BA">
        <w:rPr>
          <w:rFonts w:cstheme="minorHAnsi"/>
        </w:rPr>
        <w:t xml:space="preserve"> </w:t>
      </w:r>
      <w:r w:rsidR="009A5C37" w:rsidRPr="008704BA">
        <w:rPr>
          <w:rFonts w:cstheme="minorHAnsi"/>
        </w:rPr>
        <w:t>(</w:t>
      </w:r>
      <w:r w:rsidR="003B4BE5" w:rsidRPr="008704BA">
        <w:rPr>
          <w:rFonts w:cstheme="minorHAnsi"/>
        </w:rPr>
        <w:t>refer to Figure 1</w:t>
      </w:r>
      <w:r w:rsidR="009A5C37" w:rsidRPr="008704BA">
        <w:rPr>
          <w:rFonts w:cstheme="minorHAnsi"/>
        </w:rPr>
        <w:t>)</w:t>
      </w:r>
      <w:r w:rsidRPr="008704BA">
        <w:rPr>
          <w:rFonts w:cstheme="minorHAnsi"/>
        </w:rPr>
        <w:t>:</w:t>
      </w:r>
    </w:p>
    <w:p w14:paraId="4C70E1B3" w14:textId="6F054C79" w:rsidR="00DA103C" w:rsidRPr="008704BA" w:rsidRDefault="00C05BFB" w:rsidP="00D36D94">
      <w:pPr>
        <w:pStyle w:val="ListParagraph"/>
        <w:numPr>
          <w:ilvl w:val="0"/>
          <w:numId w:val="17"/>
        </w:numPr>
        <w:ind w:leftChars="0"/>
        <w:jc w:val="both"/>
        <w:rPr>
          <w:rFonts w:eastAsia="標楷體" w:cstheme="minorHAnsi"/>
        </w:rPr>
      </w:pPr>
      <w:r w:rsidRPr="008704BA">
        <w:rPr>
          <w:rFonts w:cstheme="minorHAnsi"/>
        </w:rPr>
        <w:t xml:space="preserve">First Line of </w:t>
      </w:r>
      <w:proofErr w:type="spellStart"/>
      <w:r w:rsidRPr="008704BA">
        <w:rPr>
          <w:rFonts w:cstheme="minorHAnsi"/>
        </w:rPr>
        <w:t>Defence</w:t>
      </w:r>
      <w:proofErr w:type="spellEnd"/>
      <w:r w:rsidRPr="008704BA">
        <w:rPr>
          <w:rFonts w:cstheme="minorHAnsi"/>
        </w:rPr>
        <w:t xml:space="preserve"> –</w:t>
      </w:r>
      <w:r w:rsidR="00E72FD2" w:rsidRPr="008704BA">
        <w:rPr>
          <w:rFonts w:cstheme="minorHAnsi"/>
        </w:rPr>
        <w:t xml:space="preserve"> </w:t>
      </w:r>
      <w:r w:rsidR="00DA103C" w:rsidRPr="008704BA">
        <w:rPr>
          <w:rFonts w:eastAsia="標楷體" w:cstheme="minorHAnsi"/>
        </w:rPr>
        <w:t>Identify</w:t>
      </w:r>
      <w:r w:rsidR="00A17E14" w:rsidRPr="008704BA">
        <w:rPr>
          <w:rFonts w:eastAsia="標楷體" w:cstheme="minorHAnsi"/>
        </w:rPr>
        <w:t>ing</w:t>
      </w:r>
      <w:r w:rsidR="00DA103C" w:rsidRPr="008704BA">
        <w:rPr>
          <w:rFonts w:eastAsia="標楷體" w:cstheme="minorHAnsi"/>
        </w:rPr>
        <w:t>, measur</w:t>
      </w:r>
      <w:r w:rsidR="00A17E14" w:rsidRPr="008704BA">
        <w:rPr>
          <w:rFonts w:eastAsia="標楷體" w:cstheme="minorHAnsi"/>
        </w:rPr>
        <w:t>ing</w:t>
      </w:r>
      <w:r w:rsidR="00DA103C" w:rsidRPr="008704BA">
        <w:rPr>
          <w:rFonts w:eastAsia="標楷體" w:cstheme="minorHAnsi"/>
        </w:rPr>
        <w:t>, and evaluat</w:t>
      </w:r>
      <w:r w:rsidR="00A17E14" w:rsidRPr="008704BA">
        <w:rPr>
          <w:rFonts w:eastAsia="標楷體" w:cstheme="minorHAnsi"/>
        </w:rPr>
        <w:t>ing</w:t>
      </w:r>
      <w:r w:rsidR="00DA103C" w:rsidRPr="008704BA">
        <w:rPr>
          <w:rFonts w:eastAsia="標楷體" w:cstheme="minorHAnsi"/>
        </w:rPr>
        <w:t xml:space="preserve"> the material environmental risks of the case</w:t>
      </w:r>
      <w:r w:rsidR="00DA103C" w:rsidRPr="008704BA">
        <w:rPr>
          <w:rFonts w:cstheme="minorHAnsi"/>
        </w:rPr>
        <w:t xml:space="preserve"> </w:t>
      </w:r>
      <w:r w:rsidR="00662888" w:rsidRPr="008704BA">
        <w:rPr>
          <w:rFonts w:cstheme="minorHAnsi"/>
        </w:rPr>
        <w:t xml:space="preserve">at the first stage; </w:t>
      </w:r>
      <w:r w:rsidR="00273BA0" w:rsidRPr="008704BA">
        <w:rPr>
          <w:rFonts w:cstheme="minorHAnsi"/>
        </w:rPr>
        <w:t>setting</w:t>
      </w:r>
      <w:r w:rsidR="00662888" w:rsidRPr="008704BA">
        <w:rPr>
          <w:rFonts w:cstheme="minorHAnsi"/>
        </w:rPr>
        <w:t xml:space="preserve"> up and perform</w:t>
      </w:r>
      <w:r w:rsidR="00273BA0" w:rsidRPr="008704BA">
        <w:rPr>
          <w:rFonts w:cstheme="minorHAnsi"/>
        </w:rPr>
        <w:t xml:space="preserve">ing </w:t>
      </w:r>
      <w:r w:rsidR="00662888" w:rsidRPr="008704BA">
        <w:rPr>
          <w:rFonts w:cstheme="minorHAnsi"/>
        </w:rPr>
        <w:t>qualitative or quantitative environment-related scenario analysis and stress testing; and</w:t>
      </w:r>
      <w:r w:rsidR="00273BA0" w:rsidRPr="008704BA">
        <w:rPr>
          <w:rFonts w:cstheme="minorHAnsi"/>
        </w:rPr>
        <w:t xml:space="preserve">, </w:t>
      </w:r>
      <w:r w:rsidR="00662888" w:rsidRPr="008704BA">
        <w:rPr>
          <w:rFonts w:eastAsia="標楷體" w:cstheme="minorHAnsi"/>
        </w:rPr>
        <w:t>e</w:t>
      </w:r>
      <w:r w:rsidR="00794C26" w:rsidRPr="008704BA">
        <w:rPr>
          <w:rFonts w:eastAsia="標楷體" w:cstheme="minorHAnsi"/>
        </w:rPr>
        <w:t>nsur</w:t>
      </w:r>
      <w:r w:rsidR="00662888" w:rsidRPr="008704BA">
        <w:rPr>
          <w:rFonts w:eastAsia="標楷體" w:cstheme="minorHAnsi"/>
        </w:rPr>
        <w:t>ing</w:t>
      </w:r>
      <w:r w:rsidR="00794C26" w:rsidRPr="008704BA">
        <w:rPr>
          <w:rFonts w:eastAsia="標楷體" w:cstheme="minorHAnsi"/>
        </w:rPr>
        <w:t xml:space="preserve"> and monitor</w:t>
      </w:r>
      <w:r w:rsidR="00662888" w:rsidRPr="008704BA">
        <w:rPr>
          <w:rFonts w:eastAsia="標楷體" w:cstheme="minorHAnsi"/>
        </w:rPr>
        <w:t>ing</w:t>
      </w:r>
      <w:r w:rsidR="00794C26" w:rsidRPr="008704BA">
        <w:rPr>
          <w:rFonts w:eastAsia="標楷體" w:cstheme="minorHAnsi"/>
        </w:rPr>
        <w:t xml:space="preserve"> the environmental risk management after the loan is disbursed</w:t>
      </w:r>
      <w:r w:rsidR="00794C26" w:rsidRPr="008704BA">
        <w:rPr>
          <w:rFonts w:cstheme="minorHAnsi"/>
        </w:rPr>
        <w:t xml:space="preserve"> </w:t>
      </w:r>
      <w:r w:rsidRPr="008704BA">
        <w:rPr>
          <w:rFonts w:cstheme="minorHAnsi"/>
        </w:rPr>
        <w:t xml:space="preserve">by </w:t>
      </w:r>
      <w:r w:rsidR="007C0DC9">
        <w:rPr>
          <w:rFonts w:eastAsia="標楷體" w:cstheme="minorHAnsi"/>
        </w:rPr>
        <w:t>Loan Department</w:t>
      </w:r>
    </w:p>
    <w:p w14:paraId="6E255871" w14:textId="6F139540" w:rsidR="00C05BFB" w:rsidRPr="008704BA" w:rsidRDefault="00C05BFB" w:rsidP="00537C0B">
      <w:pPr>
        <w:ind w:left="360" w:hangingChars="150" w:hanging="360"/>
        <w:jc w:val="both"/>
        <w:rPr>
          <w:rFonts w:cstheme="minorHAnsi"/>
          <w:lang w:val="en"/>
        </w:rPr>
      </w:pPr>
      <w:r w:rsidRPr="008704BA">
        <w:rPr>
          <w:rFonts w:cstheme="minorHAnsi"/>
        </w:rPr>
        <w:t xml:space="preserve">• Second Line of </w:t>
      </w:r>
      <w:proofErr w:type="spellStart"/>
      <w:r w:rsidRPr="008704BA">
        <w:rPr>
          <w:rFonts w:cstheme="minorHAnsi"/>
        </w:rPr>
        <w:t>Defence</w:t>
      </w:r>
      <w:proofErr w:type="spellEnd"/>
      <w:r w:rsidRPr="008704BA">
        <w:rPr>
          <w:rFonts w:cstheme="minorHAnsi"/>
        </w:rPr>
        <w:t xml:space="preserve"> – Systematic</w:t>
      </w:r>
      <w:r w:rsidR="00BE0668" w:rsidRPr="008704BA">
        <w:rPr>
          <w:rFonts w:cstheme="minorHAnsi"/>
        </w:rPr>
        <w:t>ally</w:t>
      </w:r>
      <w:r w:rsidRPr="008704BA">
        <w:rPr>
          <w:rFonts w:cstheme="minorHAnsi"/>
        </w:rPr>
        <w:t xml:space="preserve"> review</w:t>
      </w:r>
      <w:r w:rsidR="00BE0668" w:rsidRPr="008704BA">
        <w:rPr>
          <w:rFonts w:cstheme="minorHAnsi"/>
        </w:rPr>
        <w:t>ing and monitoring</w:t>
      </w:r>
      <w:r w:rsidRPr="008704BA">
        <w:rPr>
          <w:rFonts w:cstheme="minorHAnsi"/>
        </w:rPr>
        <w:t xml:space="preserve"> </w:t>
      </w:r>
      <w:r w:rsidR="004B2FB4" w:rsidRPr="008704BA">
        <w:rPr>
          <w:rFonts w:cstheme="minorHAnsi"/>
        </w:rPr>
        <w:t>the execution of environmental risk management</w:t>
      </w:r>
      <w:r w:rsidR="00580316" w:rsidRPr="008704BA">
        <w:rPr>
          <w:rFonts w:cstheme="minorHAnsi"/>
        </w:rPr>
        <w:t xml:space="preserve"> by the Loans Committee</w:t>
      </w:r>
      <w:r w:rsidR="004B2FB4" w:rsidRPr="008704BA">
        <w:rPr>
          <w:rFonts w:cstheme="minorHAnsi"/>
        </w:rPr>
        <w:t>;</w:t>
      </w:r>
      <w:r w:rsidR="001E4268" w:rsidRPr="008704BA">
        <w:rPr>
          <w:rFonts w:cstheme="minorHAnsi"/>
        </w:rPr>
        <w:t xml:space="preserve"> </w:t>
      </w:r>
      <w:r w:rsidR="005A238F" w:rsidRPr="008704BA">
        <w:rPr>
          <w:rFonts w:cstheme="minorHAnsi"/>
        </w:rPr>
        <w:t xml:space="preserve">formulating the evaluation content and procedures for legal compliance and supervising each unit to regularly conduct self-assessment of compliance and comprehensive legal compliance </w:t>
      </w:r>
      <w:r w:rsidR="00897E58" w:rsidRPr="008704BA">
        <w:rPr>
          <w:rFonts w:cstheme="minorHAnsi"/>
        </w:rPr>
        <w:t>affairs by</w:t>
      </w:r>
      <w:r w:rsidR="004B2FB4" w:rsidRPr="008704BA">
        <w:rPr>
          <w:rFonts w:cstheme="minorHAnsi"/>
        </w:rPr>
        <w:t xml:space="preserve"> </w:t>
      </w:r>
      <w:r w:rsidR="00175ABD" w:rsidRPr="008704BA">
        <w:rPr>
          <w:rFonts w:cstheme="minorHAnsi"/>
        </w:rPr>
        <w:t>the Compliance Department</w:t>
      </w:r>
      <w:r w:rsidR="00FA00C2" w:rsidRPr="008704BA">
        <w:rPr>
          <w:rFonts w:cstheme="minorHAnsi"/>
        </w:rPr>
        <w:t xml:space="preserve"> </w:t>
      </w:r>
    </w:p>
    <w:p w14:paraId="0AD19C28" w14:textId="3E8B785D" w:rsidR="00F02726" w:rsidRPr="008704BA" w:rsidRDefault="00C05BFB" w:rsidP="00537C0B">
      <w:pPr>
        <w:ind w:left="360" w:hangingChars="150" w:hanging="360"/>
        <w:contextualSpacing/>
        <w:jc w:val="both"/>
        <w:rPr>
          <w:rFonts w:cstheme="minorHAnsi"/>
        </w:rPr>
      </w:pPr>
      <w:r w:rsidRPr="008704BA">
        <w:rPr>
          <w:rFonts w:cstheme="minorHAnsi"/>
        </w:rPr>
        <w:t xml:space="preserve">• Third Line of </w:t>
      </w:r>
      <w:proofErr w:type="spellStart"/>
      <w:r w:rsidRPr="008704BA">
        <w:rPr>
          <w:rFonts w:cstheme="minorHAnsi"/>
        </w:rPr>
        <w:t>Defence</w:t>
      </w:r>
      <w:proofErr w:type="spellEnd"/>
      <w:r w:rsidRPr="008704BA">
        <w:rPr>
          <w:rFonts w:cstheme="minorHAnsi"/>
        </w:rPr>
        <w:t xml:space="preserve"> – Independent</w:t>
      </w:r>
      <w:r w:rsidR="004B3DCC" w:rsidRPr="008704BA">
        <w:rPr>
          <w:rFonts w:cstheme="minorHAnsi"/>
        </w:rPr>
        <w:t>ly</w:t>
      </w:r>
      <w:r w:rsidRPr="008704BA">
        <w:rPr>
          <w:rFonts w:cstheme="minorHAnsi"/>
        </w:rPr>
        <w:t xml:space="preserve"> </w:t>
      </w:r>
      <w:r w:rsidR="004B3DCC" w:rsidRPr="008704BA">
        <w:rPr>
          <w:rFonts w:eastAsia="標楷體" w:cstheme="minorHAnsi"/>
        </w:rPr>
        <w:t>c</w:t>
      </w:r>
      <w:r w:rsidR="00CE1C0A" w:rsidRPr="008704BA">
        <w:rPr>
          <w:rFonts w:eastAsia="標楷體" w:cstheme="minorHAnsi"/>
        </w:rPr>
        <w:t xml:space="preserve">hecking and evaluating the effectiveness of the environmental risk management internal control and risk management rules designed and implemented by the first and second lines of </w:t>
      </w:r>
      <w:proofErr w:type="spellStart"/>
      <w:r w:rsidR="004B3DCC" w:rsidRPr="008704BA">
        <w:rPr>
          <w:rFonts w:eastAsia="標楷體" w:cstheme="minorHAnsi"/>
        </w:rPr>
        <w:t>defence</w:t>
      </w:r>
      <w:proofErr w:type="spellEnd"/>
      <w:r w:rsidR="00CE1C0A" w:rsidRPr="008704BA">
        <w:rPr>
          <w:rFonts w:eastAsia="標楷體" w:cstheme="minorHAnsi"/>
        </w:rPr>
        <w:t xml:space="preserve">, and providing suggestions for improvement in </w:t>
      </w:r>
      <w:r w:rsidR="004B3DCC" w:rsidRPr="008704BA">
        <w:rPr>
          <w:rFonts w:eastAsia="標楷體" w:cstheme="minorHAnsi"/>
        </w:rPr>
        <w:t xml:space="preserve">a </w:t>
      </w:r>
      <w:r w:rsidR="00CE1C0A" w:rsidRPr="008704BA">
        <w:rPr>
          <w:rFonts w:eastAsia="標楷體" w:cstheme="minorHAnsi"/>
        </w:rPr>
        <w:t>timely</w:t>
      </w:r>
      <w:r w:rsidR="00F02726" w:rsidRPr="008704BA">
        <w:rPr>
          <w:rFonts w:eastAsia="標楷體" w:cstheme="minorHAnsi"/>
        </w:rPr>
        <w:t xml:space="preserve"> </w:t>
      </w:r>
      <w:r w:rsidR="00F02726" w:rsidRPr="008704BA">
        <w:rPr>
          <w:rFonts w:cstheme="minorHAnsi"/>
        </w:rPr>
        <w:t>by Group Internal Audit</w:t>
      </w:r>
    </w:p>
    <w:p w14:paraId="305D6E25" w14:textId="77777777" w:rsidR="00A412B1" w:rsidRPr="008704BA" w:rsidRDefault="00A412B1" w:rsidP="00537C0B">
      <w:pPr>
        <w:ind w:left="360" w:hangingChars="150" w:hanging="360"/>
        <w:contextualSpacing/>
        <w:jc w:val="both"/>
        <w:rPr>
          <w:rFonts w:cstheme="minorHAnsi"/>
        </w:rPr>
      </w:pPr>
    </w:p>
    <w:p w14:paraId="16270EC9" w14:textId="49485403" w:rsidR="10F71AB9" w:rsidRPr="008704BA" w:rsidRDefault="001802F9" w:rsidP="00643650">
      <w:pPr>
        <w:ind w:left="360" w:hangingChars="150" w:hanging="360"/>
        <w:contextualSpacing/>
        <w:jc w:val="center"/>
        <w:rPr>
          <w:rFonts w:cstheme="minorHAnsi"/>
        </w:rPr>
      </w:pPr>
      <w:r w:rsidRPr="008704BA">
        <w:rPr>
          <w:rFonts w:cstheme="minorHAnsi"/>
          <w:noProof/>
        </w:rPr>
        <w:drawing>
          <wp:inline distT="0" distB="0" distL="0" distR="0" wp14:anchorId="0962BABA" wp14:editId="67192531">
            <wp:extent cx="4762500" cy="2578100"/>
            <wp:effectExtent l="0" t="19050" r="0" b="12700"/>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5AB595A" w14:textId="1210ADFE" w:rsidR="00243FD7" w:rsidRPr="008704BA" w:rsidRDefault="00243FD7" w:rsidP="00243FD7">
      <w:pPr>
        <w:ind w:left="360" w:hangingChars="150" w:hanging="360"/>
        <w:contextualSpacing/>
        <w:jc w:val="center"/>
        <w:rPr>
          <w:rFonts w:cstheme="minorHAnsi"/>
        </w:rPr>
      </w:pPr>
      <w:r w:rsidRPr="008704BA">
        <w:rPr>
          <w:rFonts w:cstheme="minorHAnsi"/>
        </w:rPr>
        <w:t>Figure</w:t>
      </w:r>
      <w:r w:rsidR="00C9287F" w:rsidRPr="008704BA">
        <w:rPr>
          <w:rFonts w:cstheme="minorHAnsi"/>
        </w:rPr>
        <w:t xml:space="preserve"> </w:t>
      </w:r>
      <w:r w:rsidR="002A2C80" w:rsidRPr="008704BA">
        <w:rPr>
          <w:rFonts w:cstheme="minorHAnsi"/>
        </w:rPr>
        <w:t>1</w:t>
      </w:r>
      <w:r w:rsidRPr="008704BA">
        <w:rPr>
          <w:rFonts w:cstheme="minorHAnsi"/>
        </w:rPr>
        <w:t xml:space="preserve">: </w:t>
      </w:r>
      <w:r w:rsidR="00A412B1" w:rsidRPr="008704BA">
        <w:rPr>
          <w:rFonts w:cstheme="minorHAnsi"/>
        </w:rPr>
        <w:t xml:space="preserve">Three Lines of </w:t>
      </w:r>
      <w:proofErr w:type="spellStart"/>
      <w:r w:rsidR="00A412B1" w:rsidRPr="008704BA">
        <w:rPr>
          <w:rFonts w:cstheme="minorHAnsi"/>
        </w:rPr>
        <w:t>Defence</w:t>
      </w:r>
      <w:proofErr w:type="spellEnd"/>
      <w:r w:rsidR="00A412B1" w:rsidRPr="008704BA">
        <w:rPr>
          <w:rFonts w:cstheme="minorHAnsi"/>
        </w:rPr>
        <w:t xml:space="preserve"> Model</w:t>
      </w:r>
    </w:p>
    <w:p w14:paraId="659E64E6" w14:textId="77777777" w:rsidR="007C528A" w:rsidRPr="008704BA" w:rsidRDefault="007C528A" w:rsidP="00243FD7">
      <w:pPr>
        <w:ind w:left="360" w:hangingChars="150" w:hanging="360"/>
        <w:contextualSpacing/>
        <w:jc w:val="center"/>
        <w:rPr>
          <w:rFonts w:cstheme="minorHAnsi"/>
        </w:rPr>
      </w:pPr>
    </w:p>
    <w:p w14:paraId="159573DE" w14:textId="77777777" w:rsidR="00174F8C" w:rsidRPr="008704BA" w:rsidRDefault="00174F8C" w:rsidP="004F7DFA">
      <w:pPr>
        <w:contextualSpacing/>
        <w:rPr>
          <w:rFonts w:cstheme="minorHAnsi"/>
        </w:rPr>
      </w:pPr>
    </w:p>
    <w:p w14:paraId="2754CB16" w14:textId="77777777" w:rsidR="00186CB9" w:rsidRPr="008704BA" w:rsidRDefault="00186CB9" w:rsidP="004F7DFA">
      <w:pPr>
        <w:contextualSpacing/>
        <w:rPr>
          <w:rFonts w:cstheme="minorHAnsi"/>
        </w:rPr>
      </w:pPr>
    </w:p>
    <w:p w14:paraId="714793A0" w14:textId="799E38A0" w:rsidR="00174F8C" w:rsidRPr="008704BA" w:rsidRDefault="00FA6C2C" w:rsidP="0071595B">
      <w:pPr>
        <w:pStyle w:val="Heading2"/>
        <w:rPr>
          <w:rFonts w:asciiTheme="minorHAnsi" w:hAnsiTheme="minorHAnsi" w:cstheme="minorHAnsi"/>
        </w:rPr>
      </w:pPr>
      <w:bookmarkStart w:id="5" w:name="_Toc106234005"/>
      <w:r w:rsidRPr="008704BA">
        <w:rPr>
          <w:rFonts w:asciiTheme="minorHAnsi" w:hAnsiTheme="minorHAnsi" w:cstheme="minorHAnsi"/>
        </w:rPr>
        <w:t>3.</w:t>
      </w:r>
      <w:r w:rsidR="004110C7" w:rsidRPr="008704BA">
        <w:rPr>
          <w:rFonts w:asciiTheme="minorHAnsi" w:hAnsiTheme="minorHAnsi" w:cstheme="minorHAnsi"/>
        </w:rPr>
        <w:t>2</w:t>
      </w:r>
      <w:r w:rsidRPr="008704BA">
        <w:rPr>
          <w:rFonts w:asciiTheme="minorHAnsi" w:hAnsiTheme="minorHAnsi" w:cstheme="minorHAnsi"/>
        </w:rPr>
        <w:t xml:space="preserve"> Environmental Risk </w:t>
      </w:r>
      <w:r w:rsidR="00597D41" w:rsidRPr="008704BA">
        <w:rPr>
          <w:rFonts w:asciiTheme="minorHAnsi" w:hAnsiTheme="minorHAnsi" w:cstheme="minorHAnsi"/>
        </w:rPr>
        <w:t xml:space="preserve">Management </w:t>
      </w:r>
      <w:r w:rsidRPr="008704BA">
        <w:rPr>
          <w:rFonts w:asciiTheme="minorHAnsi" w:hAnsiTheme="minorHAnsi" w:cstheme="minorHAnsi"/>
        </w:rPr>
        <w:t>Process</w:t>
      </w:r>
      <w:bookmarkEnd w:id="5"/>
    </w:p>
    <w:p w14:paraId="2CA97D58" w14:textId="77777777" w:rsidR="00243FD7" w:rsidRPr="008704BA" w:rsidRDefault="003A683B" w:rsidP="00537C0B">
      <w:pPr>
        <w:jc w:val="both"/>
        <w:rPr>
          <w:rFonts w:cstheme="minorHAnsi"/>
        </w:rPr>
      </w:pPr>
      <w:r w:rsidRPr="008704BA">
        <w:rPr>
          <w:rFonts w:cstheme="minorHAnsi"/>
          <w:noProof/>
        </w:rPr>
        <w:drawing>
          <wp:inline distT="0" distB="0" distL="0" distR="0" wp14:anchorId="7A848193" wp14:editId="5A868127">
            <wp:extent cx="5274310" cy="3076575"/>
            <wp:effectExtent l="38100" t="0" r="21590" b="9525"/>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5B527FC" w14:textId="24EFAA2A" w:rsidR="00243FD7" w:rsidRPr="008704BA" w:rsidRDefault="00243FD7" w:rsidP="00243FD7">
      <w:pPr>
        <w:jc w:val="center"/>
        <w:rPr>
          <w:rFonts w:cstheme="minorHAnsi"/>
        </w:rPr>
      </w:pPr>
      <w:r w:rsidRPr="008704BA">
        <w:rPr>
          <w:rFonts w:cstheme="minorHAnsi"/>
        </w:rPr>
        <w:t>Figure</w:t>
      </w:r>
      <w:r w:rsidR="00C9287F" w:rsidRPr="008704BA">
        <w:rPr>
          <w:rFonts w:cstheme="minorHAnsi"/>
        </w:rPr>
        <w:t xml:space="preserve"> </w:t>
      </w:r>
      <w:r w:rsidR="003B4BE5" w:rsidRPr="008704BA">
        <w:rPr>
          <w:rFonts w:cstheme="minorHAnsi"/>
        </w:rPr>
        <w:t>2</w:t>
      </w:r>
      <w:r w:rsidRPr="008704BA">
        <w:rPr>
          <w:rFonts w:cstheme="minorHAnsi"/>
        </w:rPr>
        <w:t>:</w:t>
      </w:r>
      <w:r w:rsidR="00C917B1" w:rsidRPr="008704BA">
        <w:rPr>
          <w:rFonts w:cstheme="minorHAnsi"/>
        </w:rPr>
        <w:t xml:space="preserve"> Environmental Risk Management Process</w:t>
      </w:r>
    </w:p>
    <w:p w14:paraId="1F1C6E2A" w14:textId="77777777" w:rsidR="00243FD7" w:rsidRPr="008704BA" w:rsidRDefault="00243FD7" w:rsidP="002927DF">
      <w:pPr>
        <w:jc w:val="center"/>
        <w:rPr>
          <w:rFonts w:cstheme="minorHAnsi"/>
        </w:rPr>
      </w:pPr>
    </w:p>
    <w:p w14:paraId="4EE7BF1A" w14:textId="47A2C90A" w:rsidR="00AF31AF" w:rsidRPr="008704BA" w:rsidRDefault="00FA6C2C" w:rsidP="00537C0B">
      <w:pPr>
        <w:jc w:val="both"/>
        <w:rPr>
          <w:rFonts w:cstheme="minorHAnsi"/>
        </w:rPr>
      </w:pPr>
      <w:r w:rsidRPr="008704BA">
        <w:rPr>
          <w:rFonts w:cstheme="minorHAnsi"/>
        </w:rPr>
        <w:t>Since 20</w:t>
      </w:r>
      <w:r w:rsidR="007B1777" w:rsidRPr="008704BA">
        <w:rPr>
          <w:rFonts w:cstheme="minorHAnsi"/>
        </w:rPr>
        <w:t>22</w:t>
      </w:r>
      <w:r w:rsidRPr="008704BA">
        <w:rPr>
          <w:rFonts w:cstheme="minorHAnsi"/>
        </w:rPr>
        <w:t xml:space="preserve">, </w:t>
      </w:r>
      <w:r w:rsidR="00AD46BE" w:rsidRPr="008704BA">
        <w:rPr>
          <w:rFonts w:cstheme="minorHAnsi"/>
        </w:rPr>
        <w:t>LBOT</w:t>
      </w:r>
      <w:r w:rsidR="00324154" w:rsidRPr="008704BA">
        <w:rPr>
          <w:rFonts w:cstheme="minorHAnsi"/>
        </w:rPr>
        <w:t>S</w:t>
      </w:r>
      <w:r w:rsidRPr="008704BA">
        <w:rPr>
          <w:rFonts w:cstheme="minorHAnsi"/>
        </w:rPr>
        <w:t xml:space="preserve"> has </w:t>
      </w:r>
      <w:r w:rsidR="00AD46BE" w:rsidRPr="008704BA">
        <w:rPr>
          <w:rFonts w:cstheme="minorHAnsi"/>
        </w:rPr>
        <w:t>established</w:t>
      </w:r>
      <w:r w:rsidRPr="008704BA">
        <w:rPr>
          <w:rFonts w:cstheme="minorHAnsi"/>
        </w:rPr>
        <w:t xml:space="preserve"> a comprehensive </w:t>
      </w:r>
      <w:r w:rsidR="00A84ECB" w:rsidRPr="008704BA">
        <w:rPr>
          <w:rFonts w:cstheme="minorHAnsi"/>
        </w:rPr>
        <w:t>e</w:t>
      </w:r>
      <w:r w:rsidR="002B58F2" w:rsidRPr="008704BA">
        <w:rPr>
          <w:rFonts w:cstheme="minorHAnsi"/>
        </w:rPr>
        <w:t>nvironmental</w:t>
      </w:r>
      <w:r w:rsidRPr="008704BA">
        <w:rPr>
          <w:rFonts w:cstheme="minorHAnsi"/>
        </w:rPr>
        <w:t xml:space="preserve"> risk assessment process</w:t>
      </w:r>
      <w:r w:rsidR="00D51B0A" w:rsidRPr="008704BA">
        <w:rPr>
          <w:rFonts w:cstheme="minorHAnsi"/>
        </w:rPr>
        <w:t xml:space="preserve"> and proposed </w:t>
      </w:r>
      <w:r w:rsidR="00D503AB" w:rsidRPr="008704BA">
        <w:rPr>
          <w:rFonts w:cstheme="minorHAnsi"/>
        </w:rPr>
        <w:t>the policy</w:t>
      </w:r>
      <w:r w:rsidR="00402047" w:rsidRPr="008704BA">
        <w:rPr>
          <w:rFonts w:cstheme="minorHAnsi"/>
        </w:rPr>
        <w:t xml:space="preserve"> </w:t>
      </w:r>
      <w:r w:rsidR="00B82609" w:rsidRPr="008704BA">
        <w:rPr>
          <w:rFonts w:eastAsia="標楷體" w:cstheme="minorHAnsi"/>
          <w:color w:val="000000"/>
        </w:rPr>
        <w:t>to ensure the integrity and rationality of environmental risk management, and to incorporate environmental risk management into the overall risk management framework.</w:t>
      </w:r>
      <w:r w:rsidR="00721B4F" w:rsidRPr="008704BA">
        <w:rPr>
          <w:rFonts w:cstheme="minorHAnsi"/>
        </w:rPr>
        <w:t xml:space="preserve"> </w:t>
      </w:r>
      <w:r w:rsidR="00AF31AF" w:rsidRPr="008704BA">
        <w:rPr>
          <w:rFonts w:cstheme="minorHAnsi"/>
        </w:rPr>
        <w:t xml:space="preserve">To </w:t>
      </w:r>
      <w:r w:rsidR="00FC408C" w:rsidRPr="008704BA">
        <w:rPr>
          <w:rFonts w:cstheme="minorHAnsi"/>
        </w:rPr>
        <w:t xml:space="preserve">manage </w:t>
      </w:r>
      <w:r w:rsidR="00A84ECB" w:rsidRPr="008704BA">
        <w:rPr>
          <w:rFonts w:cstheme="minorHAnsi"/>
        </w:rPr>
        <w:t>environmental risk</w:t>
      </w:r>
      <w:r w:rsidR="0065565F" w:rsidRPr="008704BA">
        <w:rPr>
          <w:rFonts w:cstheme="minorHAnsi"/>
        </w:rPr>
        <w:t>s</w:t>
      </w:r>
      <w:r w:rsidR="00A84ECB" w:rsidRPr="008704BA">
        <w:rPr>
          <w:rFonts w:cstheme="minorHAnsi"/>
        </w:rPr>
        <w:t xml:space="preserve">, we </w:t>
      </w:r>
      <w:r w:rsidR="00437391" w:rsidRPr="008704BA">
        <w:rPr>
          <w:rFonts w:cstheme="minorHAnsi"/>
        </w:rPr>
        <w:t xml:space="preserve">adopt </w:t>
      </w:r>
      <w:r w:rsidR="00FC408C" w:rsidRPr="008704BA">
        <w:rPr>
          <w:rFonts w:cstheme="minorHAnsi"/>
        </w:rPr>
        <w:t xml:space="preserve">the </w:t>
      </w:r>
      <w:r w:rsidR="00AF31AF" w:rsidRPr="008704BA">
        <w:rPr>
          <w:rFonts w:cstheme="minorHAnsi"/>
        </w:rPr>
        <w:t>4 essential steps of the Risk Management Process</w:t>
      </w:r>
      <w:r w:rsidR="00F46FDB" w:rsidRPr="008704BA">
        <w:rPr>
          <w:rFonts w:cstheme="minorHAnsi"/>
        </w:rPr>
        <w:t>, including i</w:t>
      </w:r>
      <w:r w:rsidR="00AF31AF" w:rsidRPr="008704BA">
        <w:rPr>
          <w:rFonts w:cstheme="minorHAnsi"/>
        </w:rPr>
        <w:t>dentify</w:t>
      </w:r>
      <w:r w:rsidR="00F46FDB" w:rsidRPr="008704BA">
        <w:rPr>
          <w:rFonts w:cstheme="minorHAnsi"/>
        </w:rPr>
        <w:t>ing</w:t>
      </w:r>
      <w:r w:rsidR="00AF31AF" w:rsidRPr="008704BA">
        <w:rPr>
          <w:rFonts w:cstheme="minorHAnsi"/>
        </w:rPr>
        <w:t xml:space="preserve"> </w:t>
      </w:r>
      <w:r w:rsidR="0065565F" w:rsidRPr="008704BA">
        <w:rPr>
          <w:rFonts w:cstheme="minorHAnsi"/>
        </w:rPr>
        <w:t>environmental</w:t>
      </w:r>
      <w:r w:rsidR="00AF31AF" w:rsidRPr="008704BA">
        <w:rPr>
          <w:rFonts w:cstheme="minorHAnsi"/>
        </w:rPr>
        <w:t xml:space="preserve"> risk</w:t>
      </w:r>
      <w:r w:rsidR="0065565F" w:rsidRPr="008704BA">
        <w:rPr>
          <w:rFonts w:cstheme="minorHAnsi"/>
        </w:rPr>
        <w:t>s</w:t>
      </w:r>
      <w:r w:rsidR="00F46FDB" w:rsidRPr="008704BA">
        <w:rPr>
          <w:rFonts w:cstheme="minorHAnsi"/>
        </w:rPr>
        <w:t>, a</w:t>
      </w:r>
      <w:r w:rsidR="00AF31AF" w:rsidRPr="008704BA">
        <w:rPr>
          <w:rFonts w:cstheme="minorHAnsi"/>
        </w:rPr>
        <w:t>ssess</w:t>
      </w:r>
      <w:r w:rsidR="00F46FDB" w:rsidRPr="008704BA">
        <w:rPr>
          <w:rFonts w:cstheme="minorHAnsi"/>
        </w:rPr>
        <w:t>ing</w:t>
      </w:r>
      <w:r w:rsidR="00AF31AF" w:rsidRPr="008704BA">
        <w:rPr>
          <w:rFonts w:cstheme="minorHAnsi"/>
        </w:rPr>
        <w:t xml:space="preserve"> </w:t>
      </w:r>
      <w:r w:rsidR="0065565F" w:rsidRPr="008704BA">
        <w:rPr>
          <w:rFonts w:cstheme="minorHAnsi"/>
        </w:rPr>
        <w:t>environmental</w:t>
      </w:r>
      <w:r w:rsidR="00AF31AF" w:rsidRPr="008704BA">
        <w:rPr>
          <w:rFonts w:cstheme="minorHAnsi"/>
        </w:rPr>
        <w:t xml:space="preserve"> risk</w:t>
      </w:r>
      <w:r w:rsidR="0065565F" w:rsidRPr="008704BA">
        <w:rPr>
          <w:rFonts w:cstheme="minorHAnsi"/>
        </w:rPr>
        <w:t>s</w:t>
      </w:r>
      <w:r w:rsidR="00F46FDB" w:rsidRPr="008704BA">
        <w:rPr>
          <w:rFonts w:cstheme="minorHAnsi"/>
        </w:rPr>
        <w:t xml:space="preserve">, </w:t>
      </w:r>
      <w:r w:rsidR="00590CF9" w:rsidRPr="008704BA">
        <w:rPr>
          <w:rFonts w:cstheme="minorHAnsi"/>
        </w:rPr>
        <w:t>manag</w:t>
      </w:r>
      <w:r w:rsidR="00F46FDB" w:rsidRPr="008704BA">
        <w:rPr>
          <w:rFonts w:cstheme="minorHAnsi"/>
        </w:rPr>
        <w:t>ing</w:t>
      </w:r>
      <w:r w:rsidR="00AF31AF" w:rsidRPr="008704BA">
        <w:rPr>
          <w:rFonts w:cstheme="minorHAnsi"/>
        </w:rPr>
        <w:t xml:space="preserve"> </w:t>
      </w:r>
      <w:r w:rsidR="0065565F" w:rsidRPr="008704BA">
        <w:rPr>
          <w:rFonts w:cstheme="minorHAnsi"/>
        </w:rPr>
        <w:t>environmental</w:t>
      </w:r>
      <w:r w:rsidR="00AF31AF" w:rsidRPr="008704BA">
        <w:rPr>
          <w:rFonts w:cstheme="minorHAnsi"/>
        </w:rPr>
        <w:t xml:space="preserve"> risk</w:t>
      </w:r>
      <w:r w:rsidR="0065565F" w:rsidRPr="008704BA">
        <w:rPr>
          <w:rFonts w:cstheme="minorHAnsi"/>
        </w:rPr>
        <w:t>s</w:t>
      </w:r>
      <w:r w:rsidR="00F46FDB" w:rsidRPr="008704BA">
        <w:rPr>
          <w:rFonts w:cstheme="minorHAnsi"/>
        </w:rPr>
        <w:t>, and m</w:t>
      </w:r>
      <w:r w:rsidR="00AF31AF" w:rsidRPr="008704BA">
        <w:rPr>
          <w:rFonts w:cstheme="minorHAnsi"/>
        </w:rPr>
        <w:t>onitor</w:t>
      </w:r>
      <w:r w:rsidR="00F46FDB" w:rsidRPr="008704BA">
        <w:rPr>
          <w:rFonts w:cstheme="minorHAnsi"/>
        </w:rPr>
        <w:t>ing</w:t>
      </w:r>
      <w:r w:rsidR="002952C1" w:rsidRPr="008704BA">
        <w:rPr>
          <w:rFonts w:cstheme="minorHAnsi"/>
        </w:rPr>
        <w:t xml:space="preserve"> </w:t>
      </w:r>
      <w:r w:rsidR="00AF31AF" w:rsidRPr="008704BA">
        <w:rPr>
          <w:rFonts w:cstheme="minorHAnsi"/>
        </w:rPr>
        <w:t xml:space="preserve">on </w:t>
      </w:r>
      <w:r w:rsidR="0065565F" w:rsidRPr="008704BA">
        <w:rPr>
          <w:rFonts w:cstheme="minorHAnsi"/>
        </w:rPr>
        <w:t>environmental</w:t>
      </w:r>
      <w:r w:rsidR="00AF31AF" w:rsidRPr="008704BA">
        <w:rPr>
          <w:rFonts w:cstheme="minorHAnsi"/>
        </w:rPr>
        <w:t xml:space="preserve"> risk</w:t>
      </w:r>
      <w:r w:rsidR="0065565F" w:rsidRPr="008704BA">
        <w:rPr>
          <w:rFonts w:cstheme="minorHAnsi"/>
        </w:rPr>
        <w:t>s</w:t>
      </w:r>
      <w:r w:rsidR="00510E22" w:rsidRPr="008704BA">
        <w:rPr>
          <w:rFonts w:cstheme="minorHAnsi"/>
        </w:rPr>
        <w:t xml:space="preserve"> </w:t>
      </w:r>
      <w:r w:rsidR="009A5C37" w:rsidRPr="008704BA">
        <w:rPr>
          <w:rFonts w:cstheme="minorHAnsi"/>
        </w:rPr>
        <w:t>(</w:t>
      </w:r>
      <w:r w:rsidR="00510E22" w:rsidRPr="008704BA">
        <w:rPr>
          <w:rFonts w:cstheme="minorHAnsi"/>
        </w:rPr>
        <w:t>refer to Figure 2</w:t>
      </w:r>
      <w:r w:rsidR="009A5C37" w:rsidRPr="008704BA">
        <w:rPr>
          <w:rFonts w:cstheme="minorHAnsi"/>
        </w:rPr>
        <w:t>)</w:t>
      </w:r>
      <w:r w:rsidR="00AF31AF" w:rsidRPr="008704BA">
        <w:rPr>
          <w:rFonts w:cstheme="minorHAnsi"/>
        </w:rPr>
        <w:t>.</w:t>
      </w:r>
      <w:r w:rsidR="00EA13D7" w:rsidRPr="00EA13D7">
        <w:t xml:space="preserve"> </w:t>
      </w:r>
      <w:r w:rsidR="000C5175" w:rsidRPr="000C5175">
        <w:t>At present, the services provided by LBOTS are mainly credit loans. Therefore, the</w:t>
      </w:r>
      <w:r w:rsidR="00BA054D" w:rsidRPr="00BA054D">
        <w:t xml:space="preserve"> </w:t>
      </w:r>
      <w:r w:rsidR="00F16B49">
        <w:t>discussion</w:t>
      </w:r>
      <w:r w:rsidR="000C5175" w:rsidRPr="000C5175">
        <w:t xml:space="preserve"> </w:t>
      </w:r>
      <w:r w:rsidR="00BA054D">
        <w:t xml:space="preserve">of </w:t>
      </w:r>
      <w:r w:rsidR="00970731">
        <w:t xml:space="preserve">environmental risk </w:t>
      </w:r>
      <w:r w:rsidR="000C5175" w:rsidRPr="000C5175">
        <w:t xml:space="preserve">assessment in this report </w:t>
      </w:r>
      <w:r w:rsidR="00435B57">
        <w:t>focus</w:t>
      </w:r>
      <w:r w:rsidR="00F16B49">
        <w:t>es</w:t>
      </w:r>
      <w:r w:rsidR="00435B57">
        <w:t xml:space="preserve"> on</w:t>
      </w:r>
      <w:r w:rsidR="000C5175" w:rsidRPr="000C5175">
        <w:t xml:space="preserve"> </w:t>
      </w:r>
      <w:r w:rsidR="00F16B49">
        <w:t xml:space="preserve">that of </w:t>
      </w:r>
      <w:r w:rsidR="000C5175" w:rsidRPr="000C5175">
        <w:t>credit loans.</w:t>
      </w:r>
    </w:p>
    <w:p w14:paraId="58BC3A6B" w14:textId="77777777" w:rsidR="00F46FDB" w:rsidRPr="008704BA" w:rsidRDefault="00F46FDB" w:rsidP="00537C0B">
      <w:pPr>
        <w:jc w:val="both"/>
        <w:rPr>
          <w:rFonts w:cstheme="minorHAnsi"/>
        </w:rPr>
      </w:pPr>
    </w:p>
    <w:p w14:paraId="6D467A2A" w14:textId="70F0FE99" w:rsidR="007F0B3C" w:rsidRPr="008704BA" w:rsidRDefault="002E416B" w:rsidP="006604B1">
      <w:pPr>
        <w:rPr>
          <w:rFonts w:cstheme="minorHAnsi"/>
          <w:b/>
          <w:bCs/>
        </w:rPr>
      </w:pPr>
      <w:r w:rsidRPr="008704BA">
        <w:rPr>
          <w:rFonts w:cstheme="minorHAnsi"/>
          <w:b/>
          <w:bCs/>
        </w:rPr>
        <w:t xml:space="preserve">3.2.1 </w:t>
      </w:r>
      <w:r w:rsidR="007F0B3C" w:rsidRPr="008704BA">
        <w:rPr>
          <w:rFonts w:cstheme="minorHAnsi"/>
          <w:b/>
          <w:bCs/>
        </w:rPr>
        <w:t xml:space="preserve">Identifying </w:t>
      </w:r>
      <w:r w:rsidR="006C32F1" w:rsidRPr="008704BA">
        <w:rPr>
          <w:rFonts w:cstheme="minorHAnsi"/>
          <w:b/>
          <w:bCs/>
        </w:rPr>
        <w:t>E</w:t>
      </w:r>
      <w:r w:rsidR="0065565F" w:rsidRPr="008704BA">
        <w:rPr>
          <w:rFonts w:cstheme="minorHAnsi"/>
          <w:b/>
          <w:bCs/>
        </w:rPr>
        <w:t>nvironmental</w:t>
      </w:r>
      <w:r w:rsidR="007F0B3C" w:rsidRPr="008704BA">
        <w:rPr>
          <w:rFonts w:cstheme="minorHAnsi"/>
          <w:b/>
          <w:bCs/>
        </w:rPr>
        <w:t xml:space="preserve"> </w:t>
      </w:r>
      <w:r w:rsidR="006C32F1" w:rsidRPr="008704BA">
        <w:rPr>
          <w:rFonts w:cstheme="minorHAnsi"/>
          <w:b/>
          <w:bCs/>
        </w:rPr>
        <w:t>R</w:t>
      </w:r>
      <w:r w:rsidR="007F0B3C" w:rsidRPr="008704BA">
        <w:rPr>
          <w:rFonts w:cstheme="minorHAnsi"/>
          <w:b/>
          <w:bCs/>
        </w:rPr>
        <w:t>isk</w:t>
      </w:r>
      <w:r w:rsidR="0065565F" w:rsidRPr="008704BA">
        <w:rPr>
          <w:rFonts w:cstheme="minorHAnsi"/>
          <w:b/>
          <w:bCs/>
        </w:rPr>
        <w:t>s</w:t>
      </w:r>
      <w:r w:rsidR="007F0B3C" w:rsidRPr="008704BA">
        <w:rPr>
          <w:rFonts w:cstheme="minorHAnsi"/>
          <w:b/>
          <w:bCs/>
        </w:rPr>
        <w:t xml:space="preserve">: Define </w:t>
      </w:r>
      <w:r w:rsidR="006C32F1" w:rsidRPr="008704BA">
        <w:rPr>
          <w:rFonts w:cstheme="minorHAnsi"/>
          <w:b/>
          <w:bCs/>
        </w:rPr>
        <w:t>M</w:t>
      </w:r>
      <w:r w:rsidR="007F0B3C" w:rsidRPr="008704BA">
        <w:rPr>
          <w:rFonts w:cstheme="minorHAnsi"/>
          <w:b/>
          <w:bCs/>
        </w:rPr>
        <w:t xml:space="preserve">aterial </w:t>
      </w:r>
      <w:r w:rsidR="006C32F1" w:rsidRPr="008704BA">
        <w:rPr>
          <w:rFonts w:cstheme="minorHAnsi"/>
          <w:b/>
          <w:bCs/>
        </w:rPr>
        <w:t>E</w:t>
      </w:r>
      <w:r w:rsidR="007F0B3C" w:rsidRPr="008704BA">
        <w:rPr>
          <w:rFonts w:cstheme="minorHAnsi"/>
          <w:b/>
          <w:bCs/>
        </w:rPr>
        <w:t xml:space="preserve">nvironmental </w:t>
      </w:r>
      <w:r w:rsidR="006C32F1" w:rsidRPr="008704BA">
        <w:rPr>
          <w:rFonts w:cstheme="minorHAnsi"/>
          <w:b/>
          <w:bCs/>
        </w:rPr>
        <w:t>R</w:t>
      </w:r>
      <w:r w:rsidR="007F0B3C" w:rsidRPr="008704BA">
        <w:rPr>
          <w:rFonts w:cstheme="minorHAnsi"/>
          <w:b/>
          <w:bCs/>
        </w:rPr>
        <w:t xml:space="preserve">isks in </w:t>
      </w:r>
      <w:r w:rsidR="00EB1F66">
        <w:rPr>
          <w:rFonts w:cstheme="minorHAnsi"/>
          <w:b/>
          <w:bCs/>
        </w:rPr>
        <w:t>I</w:t>
      </w:r>
      <w:r w:rsidR="007F0B3C" w:rsidRPr="008704BA">
        <w:rPr>
          <w:rFonts w:cstheme="minorHAnsi"/>
          <w:b/>
          <w:bCs/>
        </w:rPr>
        <w:t>ndustries</w:t>
      </w:r>
    </w:p>
    <w:p w14:paraId="60647E9B" w14:textId="0E5C7076" w:rsidR="00465B41" w:rsidRPr="008704BA" w:rsidRDefault="00A02D30" w:rsidP="00537C0B">
      <w:pPr>
        <w:jc w:val="both"/>
        <w:rPr>
          <w:rFonts w:cstheme="minorHAnsi"/>
        </w:rPr>
      </w:pPr>
      <w:r w:rsidRPr="008704BA">
        <w:rPr>
          <w:rFonts w:cstheme="minorHAnsi"/>
        </w:rPr>
        <w:t xml:space="preserve">According to the definition of MAS ERM Guideline Article 2.1, environmental risks can include climate change risk (climate change), biodiversity risk (loss of biodiversity), pollution risk (pollution), </w:t>
      </w:r>
      <w:r w:rsidR="00537C0B" w:rsidRPr="008704BA">
        <w:rPr>
          <w:rFonts w:cstheme="minorHAnsi"/>
        </w:rPr>
        <w:t xml:space="preserve">and </w:t>
      </w:r>
      <w:r w:rsidRPr="008704BA">
        <w:rPr>
          <w:rFonts w:cstheme="minorHAnsi"/>
        </w:rPr>
        <w:t>land-use change risk (changes in land use). On this basis, we refer to the Green and Transition Taxonomy proposed by MAS Green Finance Industry Taskforce (GFIT), and clearly define industries that face material environmental risks, including: “Agriculture and Forestry/Land Use,” “Construction/Real Estate,”</w:t>
      </w:r>
      <w:r w:rsidR="00537C0B" w:rsidRPr="008704BA">
        <w:rPr>
          <w:rFonts w:cstheme="minorHAnsi"/>
        </w:rPr>
        <w:t xml:space="preserve"> </w:t>
      </w:r>
      <w:r w:rsidRPr="008704BA">
        <w:rPr>
          <w:rFonts w:cstheme="minorHAnsi"/>
        </w:rPr>
        <w:t>Transportation and Fuel,” “Energy, including upstream,” “Industrial,” “Information and Communications Technology,” and “Waste/Circular Economy</w:t>
      </w:r>
      <w:r w:rsidR="00597D41" w:rsidRPr="008704BA">
        <w:rPr>
          <w:rFonts w:cstheme="minorHAnsi"/>
        </w:rPr>
        <w:t>.</w:t>
      </w:r>
      <w:r w:rsidRPr="008704BA">
        <w:rPr>
          <w:rFonts w:cstheme="minorHAnsi"/>
        </w:rPr>
        <w:t>”</w:t>
      </w:r>
      <w:r w:rsidRPr="008704BA">
        <w:rPr>
          <w:rStyle w:val="FootnoteReference"/>
          <w:rFonts w:cstheme="minorHAnsi"/>
        </w:rPr>
        <w:footnoteReference w:id="2"/>
      </w:r>
    </w:p>
    <w:p w14:paraId="32236DD8" w14:textId="77777777" w:rsidR="00A02D30" w:rsidRPr="008704BA" w:rsidRDefault="00A02D30" w:rsidP="00AF31AF">
      <w:pPr>
        <w:rPr>
          <w:rFonts w:cstheme="minorHAnsi"/>
        </w:rPr>
      </w:pPr>
    </w:p>
    <w:p w14:paraId="4C68EE6E" w14:textId="78F7FDCE" w:rsidR="00C93BDE" w:rsidRPr="008704BA" w:rsidRDefault="00F45AE2" w:rsidP="00537C0B">
      <w:pPr>
        <w:jc w:val="both"/>
        <w:rPr>
          <w:rFonts w:cstheme="minorHAnsi"/>
        </w:rPr>
      </w:pPr>
      <w:r w:rsidRPr="008704BA">
        <w:rPr>
          <w:rFonts w:cstheme="minorHAnsi"/>
        </w:rPr>
        <w:t>Based on the aforementioned industries, we have completed a list of industry codes corresponding to the Singapore Standard Industrial Classification</w:t>
      </w:r>
      <w:r w:rsidR="00F73321" w:rsidRPr="008704BA">
        <w:rPr>
          <w:rFonts w:cstheme="minorHAnsi"/>
        </w:rPr>
        <w:t xml:space="preserve"> (SSIC)</w:t>
      </w:r>
      <w:r w:rsidRPr="008704BA">
        <w:rPr>
          <w:rFonts w:cstheme="minorHAnsi"/>
        </w:rPr>
        <w:t xml:space="preserve"> Code</w:t>
      </w:r>
      <w:r w:rsidR="00DA3E09" w:rsidRPr="008704BA">
        <w:rPr>
          <w:rFonts w:cstheme="minorHAnsi"/>
        </w:rPr>
        <w:t>s</w:t>
      </w:r>
      <w:r w:rsidRPr="008704BA">
        <w:rPr>
          <w:rFonts w:cstheme="minorHAnsi"/>
        </w:rPr>
        <w:t>. We check whether the existing clients are industries with high environmental risks according to the list of industries. When accepting new credit clients in the future, we will first consider their SSIC code to determine whether they are industries with high environmental risks.</w:t>
      </w:r>
    </w:p>
    <w:p w14:paraId="02F9A0FA" w14:textId="77777777" w:rsidR="00C93BDE" w:rsidRPr="008704BA" w:rsidRDefault="00C93BDE" w:rsidP="00AF31AF">
      <w:pPr>
        <w:rPr>
          <w:rFonts w:cstheme="minorHAnsi"/>
        </w:rPr>
      </w:pPr>
    </w:p>
    <w:p w14:paraId="4173B78B" w14:textId="477D8ADF" w:rsidR="00537B17" w:rsidRPr="008704BA" w:rsidRDefault="002E416B" w:rsidP="00537B17">
      <w:pPr>
        <w:rPr>
          <w:rFonts w:cstheme="minorHAnsi"/>
          <w:b/>
          <w:bCs/>
          <w:lang w:val="en"/>
        </w:rPr>
      </w:pPr>
      <w:r w:rsidRPr="008704BA">
        <w:rPr>
          <w:rFonts w:cstheme="minorHAnsi"/>
          <w:b/>
          <w:bCs/>
        </w:rPr>
        <w:t xml:space="preserve">3.2.2 </w:t>
      </w:r>
      <w:r w:rsidR="00537B17" w:rsidRPr="008704BA">
        <w:rPr>
          <w:rFonts w:cstheme="minorHAnsi"/>
          <w:b/>
          <w:bCs/>
        </w:rPr>
        <w:t xml:space="preserve">Assessing </w:t>
      </w:r>
      <w:r w:rsidR="006C32F1" w:rsidRPr="008704BA">
        <w:rPr>
          <w:rFonts w:cstheme="minorHAnsi"/>
          <w:b/>
          <w:bCs/>
        </w:rPr>
        <w:t>E</w:t>
      </w:r>
      <w:r w:rsidR="00A14356" w:rsidRPr="008704BA">
        <w:rPr>
          <w:rFonts w:cstheme="minorHAnsi"/>
          <w:b/>
          <w:bCs/>
        </w:rPr>
        <w:t>nvironmental</w:t>
      </w:r>
      <w:r w:rsidR="00537B17" w:rsidRPr="008704BA">
        <w:rPr>
          <w:rFonts w:cstheme="minorHAnsi"/>
          <w:b/>
          <w:bCs/>
        </w:rPr>
        <w:t xml:space="preserve"> </w:t>
      </w:r>
      <w:r w:rsidR="006C32F1" w:rsidRPr="008704BA">
        <w:rPr>
          <w:rFonts w:cstheme="minorHAnsi"/>
          <w:b/>
          <w:bCs/>
        </w:rPr>
        <w:t>R</w:t>
      </w:r>
      <w:r w:rsidR="00537B17" w:rsidRPr="008704BA">
        <w:rPr>
          <w:rFonts w:cstheme="minorHAnsi"/>
          <w:b/>
          <w:bCs/>
        </w:rPr>
        <w:t>isk</w:t>
      </w:r>
      <w:r w:rsidR="00A14356" w:rsidRPr="008704BA">
        <w:rPr>
          <w:rFonts w:cstheme="minorHAnsi"/>
          <w:b/>
          <w:bCs/>
        </w:rPr>
        <w:t>s</w:t>
      </w:r>
      <w:r w:rsidR="00537B17" w:rsidRPr="008704BA">
        <w:rPr>
          <w:rFonts w:cstheme="minorHAnsi"/>
          <w:b/>
          <w:bCs/>
        </w:rPr>
        <w:t xml:space="preserve">: </w:t>
      </w:r>
      <w:r w:rsidR="005A51E6" w:rsidRPr="008704BA">
        <w:rPr>
          <w:rFonts w:cstheme="minorHAnsi"/>
          <w:b/>
          <w:bCs/>
          <w:lang w:val="en"/>
        </w:rPr>
        <w:t xml:space="preserve">Reviewing the </w:t>
      </w:r>
      <w:r w:rsidR="006C32F1" w:rsidRPr="008704BA">
        <w:rPr>
          <w:rFonts w:cstheme="minorHAnsi"/>
          <w:b/>
          <w:bCs/>
          <w:lang w:val="en"/>
        </w:rPr>
        <w:t>R</w:t>
      </w:r>
      <w:r w:rsidR="005A51E6" w:rsidRPr="008704BA">
        <w:rPr>
          <w:rFonts w:cstheme="minorHAnsi"/>
          <w:b/>
          <w:bCs/>
          <w:lang w:val="en"/>
        </w:rPr>
        <w:t xml:space="preserve">isks; </w:t>
      </w:r>
      <w:r w:rsidR="00537B17" w:rsidRPr="008704BA">
        <w:rPr>
          <w:rFonts w:cstheme="minorHAnsi"/>
          <w:b/>
          <w:bCs/>
        </w:rPr>
        <w:t xml:space="preserve">Conducting </w:t>
      </w:r>
      <w:r w:rsidR="006C32F1" w:rsidRPr="008704BA">
        <w:rPr>
          <w:rFonts w:cstheme="minorHAnsi"/>
          <w:b/>
          <w:bCs/>
        </w:rPr>
        <w:t>S</w:t>
      </w:r>
      <w:r w:rsidR="00537B17" w:rsidRPr="008704BA">
        <w:rPr>
          <w:rFonts w:cstheme="minorHAnsi"/>
          <w:b/>
          <w:bCs/>
        </w:rPr>
        <w:t xml:space="preserve">tress </w:t>
      </w:r>
      <w:r w:rsidR="006C32F1" w:rsidRPr="008704BA">
        <w:rPr>
          <w:rFonts w:cstheme="minorHAnsi"/>
          <w:b/>
          <w:bCs/>
        </w:rPr>
        <w:t>T</w:t>
      </w:r>
      <w:r w:rsidR="00537B17" w:rsidRPr="008704BA">
        <w:rPr>
          <w:rFonts w:cstheme="minorHAnsi"/>
          <w:b/>
          <w:bCs/>
        </w:rPr>
        <w:t xml:space="preserve">esting and </w:t>
      </w:r>
      <w:r w:rsidR="006C32F1" w:rsidRPr="008704BA">
        <w:rPr>
          <w:rFonts w:cstheme="minorHAnsi"/>
          <w:b/>
          <w:bCs/>
        </w:rPr>
        <w:t>S</w:t>
      </w:r>
      <w:r w:rsidR="00537B17" w:rsidRPr="008704BA">
        <w:rPr>
          <w:rFonts w:cstheme="minorHAnsi"/>
          <w:b/>
          <w:bCs/>
        </w:rPr>
        <w:t xml:space="preserve">cenario </w:t>
      </w:r>
      <w:r w:rsidR="006C32F1" w:rsidRPr="008704BA">
        <w:rPr>
          <w:rFonts w:cstheme="minorHAnsi"/>
          <w:b/>
          <w:bCs/>
        </w:rPr>
        <w:t>A</w:t>
      </w:r>
      <w:r w:rsidR="00537B17" w:rsidRPr="008704BA">
        <w:rPr>
          <w:rFonts w:cstheme="minorHAnsi"/>
          <w:b/>
          <w:bCs/>
        </w:rPr>
        <w:t>nalysis</w:t>
      </w:r>
    </w:p>
    <w:p w14:paraId="40A35D86" w14:textId="66F18AE2" w:rsidR="00915D69" w:rsidRPr="008704BA" w:rsidRDefault="00915D69" w:rsidP="00537C0B">
      <w:pPr>
        <w:jc w:val="both"/>
        <w:rPr>
          <w:rFonts w:cstheme="minorHAnsi"/>
        </w:rPr>
      </w:pPr>
      <w:r w:rsidRPr="008704BA">
        <w:rPr>
          <w:rFonts w:cstheme="minorHAnsi"/>
        </w:rPr>
        <w:t>In order to conduct a comprehensive environmental review for our clients, we refer to the Environmental Risk Questionnaire issued by GFIT</w:t>
      </w:r>
      <w:r w:rsidR="00F47EFB" w:rsidRPr="008704BA">
        <w:rPr>
          <w:rFonts w:cstheme="minorHAnsi"/>
        </w:rPr>
        <w:t xml:space="preserve"> and the recommendation </w:t>
      </w:r>
      <w:r w:rsidR="007B39D0" w:rsidRPr="008704BA">
        <w:rPr>
          <w:rFonts w:cstheme="minorHAnsi"/>
        </w:rPr>
        <w:t>of TCFD</w:t>
      </w:r>
      <w:r w:rsidRPr="008704BA">
        <w:rPr>
          <w:rFonts w:cstheme="minorHAnsi"/>
        </w:rPr>
        <w:t xml:space="preserve"> and design the Environmental Risk Management Checklist for the defined high environmental risk industries. </w:t>
      </w:r>
      <w:r w:rsidR="003F7904" w:rsidRPr="008704BA">
        <w:rPr>
          <w:rFonts w:eastAsia="標楷體" w:cstheme="minorHAnsi"/>
        </w:rPr>
        <w:t xml:space="preserve">Periodically we fill in the Environmental Risk Management Checklist for review and attach it to the annual review report. </w:t>
      </w:r>
      <w:r w:rsidRPr="008704BA">
        <w:rPr>
          <w:rFonts w:cstheme="minorHAnsi"/>
        </w:rPr>
        <w:t xml:space="preserve">The checklist is mainly divided into </w:t>
      </w:r>
      <w:r w:rsidR="00E251D3" w:rsidRPr="008704BA">
        <w:rPr>
          <w:rFonts w:cstheme="minorHAnsi"/>
        </w:rPr>
        <w:t xml:space="preserve">the </w:t>
      </w:r>
      <w:r w:rsidRPr="008704BA">
        <w:rPr>
          <w:rFonts w:cstheme="minorHAnsi"/>
        </w:rPr>
        <w:t xml:space="preserve">risk side and </w:t>
      </w:r>
      <w:r w:rsidR="00E251D3" w:rsidRPr="008704BA">
        <w:rPr>
          <w:rFonts w:cstheme="minorHAnsi"/>
        </w:rPr>
        <w:t xml:space="preserve">the </w:t>
      </w:r>
      <w:r w:rsidRPr="008704BA">
        <w:rPr>
          <w:rFonts w:cstheme="minorHAnsi"/>
        </w:rPr>
        <w:t>opportunity side.</w:t>
      </w:r>
    </w:p>
    <w:p w14:paraId="5647BFD6" w14:textId="77777777" w:rsidR="00915D69" w:rsidRPr="008704BA" w:rsidRDefault="00915D69" w:rsidP="00537C0B">
      <w:pPr>
        <w:jc w:val="both"/>
        <w:rPr>
          <w:rFonts w:cstheme="minorHAnsi"/>
        </w:rPr>
      </w:pPr>
    </w:p>
    <w:p w14:paraId="19974CA3" w14:textId="57A630CD" w:rsidR="00915D69" w:rsidRPr="008704BA" w:rsidRDefault="00915D69" w:rsidP="00537C0B">
      <w:pPr>
        <w:jc w:val="both"/>
        <w:rPr>
          <w:rFonts w:cstheme="minorHAnsi"/>
        </w:rPr>
      </w:pPr>
      <w:r w:rsidRPr="008704BA">
        <w:rPr>
          <w:rFonts w:cstheme="minorHAnsi"/>
        </w:rPr>
        <w:t xml:space="preserve">We assess the risks faced by clients and how to manage them from the perspectives of risk categories and risk management measures. In terms of risk categories, climate risk is considered to be one of the biggest risks in the financial sector affecting loan portfolios and </w:t>
      </w:r>
      <w:r w:rsidR="006F40C4" w:rsidRPr="008704BA">
        <w:rPr>
          <w:rFonts w:cstheme="minorHAnsi"/>
        </w:rPr>
        <w:t>client</w:t>
      </w:r>
      <w:r w:rsidRPr="008704BA">
        <w:rPr>
          <w:rFonts w:cstheme="minorHAnsi"/>
        </w:rPr>
        <w:t xml:space="preserve"> credit profiles among environmental risks. Therefore, we design the examination questions based on the climate risk framework defined by the Task Force on Climate-related Financial Disclosures (TCFD), which includes physical and transition risks, and takes into account other environmental risks, including biodiversity loss, pollution risk and </w:t>
      </w:r>
      <w:r w:rsidR="00597D41" w:rsidRPr="008704BA">
        <w:rPr>
          <w:rFonts w:cstheme="minorHAnsi"/>
        </w:rPr>
        <w:t>l</w:t>
      </w:r>
      <w:r w:rsidR="00D36D94" w:rsidRPr="008704BA">
        <w:rPr>
          <w:rFonts w:cstheme="minorHAnsi"/>
        </w:rPr>
        <w:t>and-use</w:t>
      </w:r>
      <w:r w:rsidRPr="008704BA">
        <w:rPr>
          <w:rFonts w:cstheme="minorHAnsi"/>
        </w:rPr>
        <w:t xml:space="preserve"> change risk, etc. In terms of risk management measures, we measure how well our clients implement environmental risk governance, disclosure, risk identification, assessment and mitigation measures.</w:t>
      </w:r>
    </w:p>
    <w:p w14:paraId="5C63BF29" w14:textId="77777777" w:rsidR="00915D69" w:rsidRPr="008704BA" w:rsidRDefault="00915D69" w:rsidP="00537C0B">
      <w:pPr>
        <w:jc w:val="both"/>
        <w:rPr>
          <w:rFonts w:cstheme="minorHAnsi"/>
        </w:rPr>
      </w:pPr>
    </w:p>
    <w:p w14:paraId="06F98238" w14:textId="75E5FB8E" w:rsidR="00E86714" w:rsidRPr="008704BA" w:rsidRDefault="00915D69" w:rsidP="00537C0B">
      <w:pPr>
        <w:jc w:val="both"/>
        <w:rPr>
          <w:rFonts w:cstheme="minorHAnsi"/>
        </w:rPr>
      </w:pPr>
      <w:r w:rsidRPr="008704BA">
        <w:rPr>
          <w:rFonts w:cstheme="minorHAnsi"/>
        </w:rPr>
        <w:t xml:space="preserve">In addition to the risks, we also include items in the checklist on environmental development opportunities to assess the client's environmental performance. Taking agriculture as an example, we </w:t>
      </w:r>
      <w:r w:rsidR="00F56CE2" w:rsidRPr="008704BA">
        <w:rPr>
          <w:rFonts w:cstheme="minorHAnsi"/>
        </w:rPr>
        <w:t>check</w:t>
      </w:r>
      <w:r w:rsidRPr="008704BA">
        <w:rPr>
          <w:rFonts w:cstheme="minorHAnsi"/>
        </w:rPr>
        <w:t xml:space="preserve"> whether </w:t>
      </w:r>
      <w:r w:rsidR="00F56CE2" w:rsidRPr="008704BA">
        <w:rPr>
          <w:rFonts w:cstheme="minorHAnsi"/>
        </w:rPr>
        <w:t>clients</w:t>
      </w:r>
      <w:r w:rsidRPr="008704BA">
        <w:rPr>
          <w:rFonts w:cstheme="minorHAnsi"/>
        </w:rPr>
        <w:t xml:space="preserve"> have measures to improve the sustainability of agriculture, or whether they have participated in sustainable investment and financing activities, such as low-carbon technology investment, circular economy investment, etc.</w:t>
      </w:r>
    </w:p>
    <w:p w14:paraId="5AB752C8" w14:textId="51D9AA90" w:rsidR="00F37B13" w:rsidRPr="008704BA" w:rsidRDefault="00F37B13" w:rsidP="00537C0B">
      <w:pPr>
        <w:jc w:val="both"/>
        <w:rPr>
          <w:rFonts w:cstheme="minorHAnsi"/>
        </w:rPr>
      </w:pPr>
      <w:r w:rsidRPr="008704BA">
        <w:rPr>
          <w:rFonts w:cstheme="minorHAnsi"/>
        </w:rPr>
        <w:t xml:space="preserve">In addition, we also conduct climate scenario analysis and stress testing for existing high environmental risk clients, see </w:t>
      </w:r>
      <w:r w:rsidR="001C08AC" w:rsidRPr="008704BA">
        <w:rPr>
          <w:rFonts w:cstheme="minorHAnsi"/>
        </w:rPr>
        <w:t xml:space="preserve">section </w:t>
      </w:r>
      <w:r w:rsidRPr="008704BA">
        <w:rPr>
          <w:rFonts w:cstheme="minorHAnsi"/>
        </w:rPr>
        <w:t>3.3 for details.</w:t>
      </w:r>
    </w:p>
    <w:p w14:paraId="537F31E1" w14:textId="77777777" w:rsidR="00F37B13" w:rsidRPr="008704BA" w:rsidRDefault="00F37B13" w:rsidP="00537C0B">
      <w:pPr>
        <w:jc w:val="both"/>
        <w:rPr>
          <w:rFonts w:cstheme="minorHAnsi"/>
        </w:rPr>
      </w:pPr>
    </w:p>
    <w:p w14:paraId="1866DCC8" w14:textId="034AA03E" w:rsidR="005D74A3" w:rsidRPr="008704BA" w:rsidRDefault="002E416B" w:rsidP="005D74A3">
      <w:pPr>
        <w:rPr>
          <w:rFonts w:cstheme="minorHAnsi"/>
          <w:b/>
          <w:bCs/>
          <w:lang w:val="en"/>
        </w:rPr>
      </w:pPr>
      <w:r w:rsidRPr="008704BA">
        <w:rPr>
          <w:rFonts w:cstheme="minorHAnsi"/>
          <w:b/>
          <w:bCs/>
        </w:rPr>
        <w:t xml:space="preserve">3.2.3 </w:t>
      </w:r>
      <w:r w:rsidR="00505718" w:rsidRPr="008704BA">
        <w:rPr>
          <w:rFonts w:cstheme="minorHAnsi"/>
          <w:b/>
          <w:bCs/>
        </w:rPr>
        <w:t xml:space="preserve">Managing </w:t>
      </w:r>
      <w:r w:rsidR="006C32F1" w:rsidRPr="008704BA">
        <w:rPr>
          <w:rFonts w:cstheme="minorHAnsi"/>
          <w:b/>
          <w:bCs/>
        </w:rPr>
        <w:t>E</w:t>
      </w:r>
      <w:r w:rsidR="00A14356" w:rsidRPr="008704BA">
        <w:rPr>
          <w:rFonts w:cstheme="minorHAnsi"/>
          <w:b/>
          <w:bCs/>
        </w:rPr>
        <w:t>nvironmental</w:t>
      </w:r>
      <w:r w:rsidR="00537B17" w:rsidRPr="008704BA">
        <w:rPr>
          <w:rFonts w:cstheme="minorHAnsi"/>
          <w:b/>
          <w:bCs/>
        </w:rPr>
        <w:t xml:space="preserve"> </w:t>
      </w:r>
      <w:r w:rsidR="006C32F1" w:rsidRPr="008704BA">
        <w:rPr>
          <w:rFonts w:cstheme="minorHAnsi"/>
          <w:b/>
          <w:bCs/>
        </w:rPr>
        <w:t>R</w:t>
      </w:r>
      <w:r w:rsidR="00537B17" w:rsidRPr="008704BA">
        <w:rPr>
          <w:rFonts w:cstheme="minorHAnsi"/>
          <w:b/>
          <w:bCs/>
        </w:rPr>
        <w:t>isk</w:t>
      </w:r>
      <w:r w:rsidR="00A14356" w:rsidRPr="008704BA">
        <w:rPr>
          <w:rFonts w:cstheme="minorHAnsi"/>
          <w:b/>
          <w:bCs/>
        </w:rPr>
        <w:t>s</w:t>
      </w:r>
      <w:r w:rsidR="005D74A3" w:rsidRPr="008704BA">
        <w:rPr>
          <w:rFonts w:cstheme="minorHAnsi"/>
          <w:b/>
          <w:bCs/>
        </w:rPr>
        <w:t>:</w:t>
      </w:r>
      <w:r w:rsidR="005D74A3" w:rsidRPr="008704BA">
        <w:rPr>
          <w:rFonts w:eastAsia="新細明體" w:cstheme="minorHAnsi"/>
          <w:kern w:val="0"/>
          <w:sz w:val="28"/>
          <w:szCs w:val="28"/>
        </w:rPr>
        <w:t xml:space="preserve"> </w:t>
      </w:r>
      <w:r w:rsidR="005D74A3" w:rsidRPr="008704BA">
        <w:rPr>
          <w:rFonts w:cstheme="minorHAnsi"/>
          <w:b/>
          <w:bCs/>
          <w:lang w:val="en"/>
        </w:rPr>
        <w:t xml:space="preserve">Client </w:t>
      </w:r>
      <w:r w:rsidR="006C32F1" w:rsidRPr="008704BA">
        <w:rPr>
          <w:rFonts w:cstheme="minorHAnsi"/>
          <w:b/>
          <w:bCs/>
          <w:lang w:val="en"/>
        </w:rPr>
        <w:t>E</w:t>
      </w:r>
      <w:r w:rsidR="005D74A3" w:rsidRPr="008704BA">
        <w:rPr>
          <w:rFonts w:cstheme="minorHAnsi"/>
          <w:b/>
          <w:bCs/>
          <w:lang w:val="en"/>
        </w:rPr>
        <w:t>ngagement</w:t>
      </w:r>
    </w:p>
    <w:p w14:paraId="2F8FDB56" w14:textId="48A09967" w:rsidR="00537B17" w:rsidRPr="008704BA" w:rsidRDefault="001E7561" w:rsidP="00537C0B">
      <w:pPr>
        <w:jc w:val="both"/>
        <w:rPr>
          <w:rFonts w:cstheme="minorHAnsi"/>
        </w:rPr>
      </w:pPr>
      <w:r w:rsidRPr="008704BA">
        <w:rPr>
          <w:rFonts w:cstheme="minorHAnsi"/>
        </w:rPr>
        <w:t>For high environmental risk cases (with a high score in the Environmental Risk Management Checklist), we communicate directly with the client or suggest that the syndicated lead bank negotiate and communicate with the client, including but not limited to requiring the client to fill in Engagement Questionnaire</w:t>
      </w:r>
      <w:r w:rsidR="00EF17C5" w:rsidRPr="008704BA">
        <w:rPr>
          <w:rFonts w:cstheme="minorHAnsi"/>
        </w:rPr>
        <w:t>, in order to work with the client to respond to the impact of environmental changes and work together towards a sustainable future</w:t>
      </w:r>
      <w:r w:rsidRPr="008704BA">
        <w:rPr>
          <w:rFonts w:cstheme="minorHAnsi"/>
        </w:rPr>
        <w:t xml:space="preserve">. The client shall explain its risk mitigation measures in Engagement Questionnaire for the </w:t>
      </w:r>
      <w:r w:rsidR="00496B29" w:rsidRPr="008704BA">
        <w:rPr>
          <w:rFonts w:cstheme="minorHAnsi"/>
        </w:rPr>
        <w:t xml:space="preserve">high </w:t>
      </w:r>
      <w:r w:rsidRPr="008704BA">
        <w:rPr>
          <w:rFonts w:cstheme="minorHAnsi"/>
        </w:rPr>
        <w:t>environmental risk rating indicators in the Environmental Risk Management Checklist.</w:t>
      </w:r>
    </w:p>
    <w:p w14:paraId="07729332" w14:textId="77777777" w:rsidR="00EC1746" w:rsidRPr="008704BA" w:rsidRDefault="00EC1746" w:rsidP="00537C0B">
      <w:pPr>
        <w:jc w:val="both"/>
        <w:rPr>
          <w:rFonts w:cstheme="minorHAnsi"/>
        </w:rPr>
      </w:pPr>
    </w:p>
    <w:p w14:paraId="226A9091" w14:textId="1DF6A8BC" w:rsidR="00CC6657" w:rsidRPr="008704BA" w:rsidRDefault="00EC1746" w:rsidP="00537C0B">
      <w:pPr>
        <w:jc w:val="both"/>
        <w:rPr>
          <w:rFonts w:cstheme="minorHAnsi"/>
        </w:rPr>
      </w:pPr>
      <w:r w:rsidRPr="008704BA">
        <w:rPr>
          <w:rFonts w:cstheme="minorHAnsi"/>
        </w:rPr>
        <w:t>In the future, when undertaking new credit cases, we will take environmental risks into consideration and gradually reduce the number of cases with high environmental risks.</w:t>
      </w:r>
    </w:p>
    <w:p w14:paraId="6A3E14CA" w14:textId="77777777" w:rsidR="00537B17" w:rsidRPr="008704BA" w:rsidRDefault="00537B17" w:rsidP="00537C0B">
      <w:pPr>
        <w:jc w:val="both"/>
        <w:rPr>
          <w:rFonts w:cstheme="minorHAnsi"/>
        </w:rPr>
      </w:pPr>
    </w:p>
    <w:p w14:paraId="629CC1D1" w14:textId="1CB30710" w:rsidR="00537B17" w:rsidRPr="008704BA" w:rsidRDefault="002E416B" w:rsidP="00537B17">
      <w:pPr>
        <w:rPr>
          <w:rFonts w:cstheme="minorHAnsi"/>
          <w:b/>
          <w:bCs/>
        </w:rPr>
      </w:pPr>
      <w:r w:rsidRPr="008704BA">
        <w:rPr>
          <w:rFonts w:cstheme="minorHAnsi"/>
          <w:b/>
          <w:bCs/>
        </w:rPr>
        <w:t xml:space="preserve">3.2.4 </w:t>
      </w:r>
      <w:r w:rsidR="00537B17" w:rsidRPr="008704BA">
        <w:rPr>
          <w:rFonts w:cstheme="minorHAnsi"/>
          <w:b/>
          <w:bCs/>
        </w:rPr>
        <w:t xml:space="preserve">Monitoring </w:t>
      </w:r>
      <w:r w:rsidR="006C32F1" w:rsidRPr="008704BA">
        <w:rPr>
          <w:rFonts w:cstheme="minorHAnsi"/>
          <w:b/>
          <w:bCs/>
        </w:rPr>
        <w:t>E</w:t>
      </w:r>
      <w:r w:rsidR="00537B17" w:rsidRPr="008704BA">
        <w:rPr>
          <w:rFonts w:cstheme="minorHAnsi"/>
          <w:b/>
          <w:bCs/>
        </w:rPr>
        <w:t xml:space="preserve">nvironmental </w:t>
      </w:r>
      <w:r w:rsidR="006C32F1" w:rsidRPr="008704BA">
        <w:rPr>
          <w:rFonts w:cstheme="minorHAnsi"/>
          <w:b/>
          <w:bCs/>
        </w:rPr>
        <w:t>R</w:t>
      </w:r>
      <w:r w:rsidR="00537B17" w:rsidRPr="008704BA">
        <w:rPr>
          <w:rFonts w:cstheme="minorHAnsi"/>
          <w:b/>
          <w:bCs/>
        </w:rPr>
        <w:t>isks</w:t>
      </w:r>
    </w:p>
    <w:p w14:paraId="41541F69" w14:textId="2B28BF81" w:rsidR="00537B17" w:rsidRPr="008704BA" w:rsidRDefault="00124E3F" w:rsidP="00B70407">
      <w:pPr>
        <w:jc w:val="both"/>
        <w:rPr>
          <w:rFonts w:cstheme="minorHAnsi"/>
        </w:rPr>
      </w:pPr>
      <w:r w:rsidRPr="008704BA">
        <w:rPr>
          <w:rFonts w:cstheme="minorHAnsi"/>
        </w:rPr>
        <w:t xml:space="preserve">The Loans Committee is responsible for monitoring the execution of environmental risk management by the </w:t>
      </w:r>
      <w:r w:rsidR="007C0DC9">
        <w:rPr>
          <w:rFonts w:cstheme="minorHAnsi"/>
        </w:rPr>
        <w:t>Loan Department</w:t>
      </w:r>
      <w:r w:rsidRPr="008704BA">
        <w:rPr>
          <w:rFonts w:cstheme="minorHAnsi"/>
        </w:rPr>
        <w:t xml:space="preserve">. The members of the committee review the environmental risk management review </w:t>
      </w:r>
      <w:r w:rsidR="00D36D94" w:rsidRPr="008704BA">
        <w:rPr>
          <w:rFonts w:cstheme="minorHAnsi"/>
        </w:rPr>
        <w:t>result</w:t>
      </w:r>
      <w:r w:rsidRPr="008704BA">
        <w:rPr>
          <w:rFonts w:cstheme="minorHAnsi"/>
        </w:rPr>
        <w:t xml:space="preserve"> in the credit assessment report and report the approved cases to the </w:t>
      </w:r>
      <w:r w:rsidR="00B24CB4" w:rsidRPr="00B24CB4">
        <w:rPr>
          <w:rFonts w:cstheme="minorHAnsi"/>
        </w:rPr>
        <w:t>General Manager, H</w:t>
      </w:r>
      <w:r w:rsidR="00C8094B">
        <w:rPr>
          <w:rFonts w:cstheme="minorHAnsi"/>
        </w:rPr>
        <w:t xml:space="preserve">. O. </w:t>
      </w:r>
      <w:r w:rsidR="00C8094B" w:rsidRPr="00C8094B">
        <w:rPr>
          <w:rFonts w:cstheme="minorHAnsi"/>
        </w:rPr>
        <w:t>Executive Vice President</w:t>
      </w:r>
      <w:r w:rsidR="00C8094B">
        <w:rPr>
          <w:rFonts w:cstheme="minorHAnsi"/>
        </w:rPr>
        <w:t>,</w:t>
      </w:r>
      <w:r w:rsidR="00C8094B" w:rsidRPr="00C8094B">
        <w:t xml:space="preserve"> </w:t>
      </w:r>
      <w:r w:rsidR="00C8094B" w:rsidRPr="00C8094B">
        <w:rPr>
          <w:rFonts w:cstheme="minorHAnsi"/>
        </w:rPr>
        <w:t>H. O.</w:t>
      </w:r>
      <w:r w:rsidR="00C8094B">
        <w:rPr>
          <w:rFonts w:cstheme="minorHAnsi"/>
        </w:rPr>
        <w:t xml:space="preserve"> </w:t>
      </w:r>
      <w:r w:rsidR="00C8094B">
        <w:rPr>
          <w:rFonts w:cstheme="minorHAnsi" w:hint="eastAsia"/>
        </w:rPr>
        <w:t>P</w:t>
      </w:r>
      <w:r w:rsidR="00C8094B">
        <w:rPr>
          <w:rFonts w:cstheme="minorHAnsi"/>
        </w:rPr>
        <w:t xml:space="preserve">resident and </w:t>
      </w:r>
      <w:r w:rsidR="00C8094B" w:rsidRPr="00C8094B">
        <w:rPr>
          <w:rFonts w:cstheme="minorHAnsi"/>
        </w:rPr>
        <w:t>the Board</w:t>
      </w:r>
      <w:r w:rsidR="00C8094B" w:rsidRPr="00C8094B" w:rsidDel="00B24CB4">
        <w:rPr>
          <w:rFonts w:cstheme="minorHAnsi"/>
        </w:rPr>
        <w:t xml:space="preserve"> </w:t>
      </w:r>
      <w:r w:rsidRPr="008704BA">
        <w:rPr>
          <w:rFonts w:cstheme="minorHAnsi"/>
        </w:rPr>
        <w:t>according to the scale of the case and the review level within the corresponding authority, and review within their corresponding authority tiers for final approval.</w:t>
      </w:r>
    </w:p>
    <w:p w14:paraId="21C289A9" w14:textId="6EA6FD6B" w:rsidR="00B24CB4" w:rsidRPr="00C8094B" w:rsidRDefault="00B24CB4" w:rsidP="00B24CB4"/>
    <w:p w14:paraId="34991B79" w14:textId="6355D4E3" w:rsidR="00A027FC" w:rsidRPr="008704BA" w:rsidRDefault="00B86FE2" w:rsidP="006F1F36">
      <w:pPr>
        <w:pStyle w:val="Heading2"/>
        <w:rPr>
          <w:rFonts w:asciiTheme="minorHAnsi" w:hAnsiTheme="minorHAnsi" w:cstheme="minorHAnsi"/>
          <w:lang w:val="en"/>
        </w:rPr>
      </w:pPr>
      <w:bookmarkStart w:id="6" w:name="_Toc106234006"/>
      <w:r w:rsidRPr="008704BA">
        <w:rPr>
          <w:rFonts w:asciiTheme="minorHAnsi" w:hAnsiTheme="minorHAnsi" w:cstheme="minorHAnsi"/>
          <w:lang w:val="en"/>
        </w:rPr>
        <w:t>3.</w:t>
      </w:r>
      <w:r w:rsidR="002E416B" w:rsidRPr="008704BA">
        <w:rPr>
          <w:rFonts w:asciiTheme="minorHAnsi" w:hAnsiTheme="minorHAnsi" w:cstheme="minorHAnsi"/>
          <w:lang w:val="en"/>
        </w:rPr>
        <w:t>3</w:t>
      </w:r>
      <w:r w:rsidR="00696A0D" w:rsidRPr="008704BA">
        <w:rPr>
          <w:rFonts w:asciiTheme="minorHAnsi" w:hAnsiTheme="minorHAnsi" w:cstheme="minorHAnsi"/>
          <w:lang w:val="en"/>
        </w:rPr>
        <w:t xml:space="preserve"> </w:t>
      </w:r>
      <w:r w:rsidR="00A027FC" w:rsidRPr="008704BA">
        <w:rPr>
          <w:rFonts w:asciiTheme="minorHAnsi" w:hAnsiTheme="minorHAnsi" w:cstheme="minorHAnsi"/>
        </w:rPr>
        <w:t xml:space="preserve">Conducting </w:t>
      </w:r>
      <w:r w:rsidR="008F0CD3" w:rsidRPr="008704BA">
        <w:rPr>
          <w:rFonts w:asciiTheme="minorHAnsi" w:hAnsiTheme="minorHAnsi" w:cstheme="minorHAnsi"/>
        </w:rPr>
        <w:t>S</w:t>
      </w:r>
      <w:r w:rsidR="00A027FC" w:rsidRPr="008704BA">
        <w:rPr>
          <w:rFonts w:asciiTheme="minorHAnsi" w:hAnsiTheme="minorHAnsi" w:cstheme="minorHAnsi"/>
        </w:rPr>
        <w:t xml:space="preserve">cenario </w:t>
      </w:r>
      <w:r w:rsidR="008F0CD3" w:rsidRPr="008704BA">
        <w:rPr>
          <w:rFonts w:asciiTheme="minorHAnsi" w:hAnsiTheme="minorHAnsi" w:cstheme="minorHAnsi"/>
        </w:rPr>
        <w:t>A</w:t>
      </w:r>
      <w:r w:rsidR="00A027FC" w:rsidRPr="008704BA">
        <w:rPr>
          <w:rFonts w:asciiTheme="minorHAnsi" w:hAnsiTheme="minorHAnsi" w:cstheme="minorHAnsi"/>
        </w:rPr>
        <w:t>nalysis</w:t>
      </w:r>
      <w:r w:rsidR="00222D71" w:rsidRPr="008704BA">
        <w:rPr>
          <w:rFonts w:asciiTheme="minorHAnsi" w:hAnsiTheme="minorHAnsi" w:cstheme="minorHAnsi"/>
        </w:rPr>
        <w:t xml:space="preserve"> and </w:t>
      </w:r>
      <w:r w:rsidR="008F0CD3" w:rsidRPr="008704BA">
        <w:rPr>
          <w:rFonts w:asciiTheme="minorHAnsi" w:hAnsiTheme="minorHAnsi" w:cstheme="minorHAnsi"/>
        </w:rPr>
        <w:t>S</w:t>
      </w:r>
      <w:r w:rsidR="00222D71" w:rsidRPr="008704BA">
        <w:rPr>
          <w:rFonts w:asciiTheme="minorHAnsi" w:hAnsiTheme="minorHAnsi" w:cstheme="minorHAnsi"/>
        </w:rPr>
        <w:t xml:space="preserve">tress </w:t>
      </w:r>
      <w:r w:rsidR="008F0CD3" w:rsidRPr="008704BA">
        <w:rPr>
          <w:rFonts w:asciiTheme="minorHAnsi" w:hAnsiTheme="minorHAnsi" w:cstheme="minorHAnsi"/>
        </w:rPr>
        <w:t>T</w:t>
      </w:r>
      <w:r w:rsidR="00222D71" w:rsidRPr="008704BA">
        <w:rPr>
          <w:rFonts w:asciiTheme="minorHAnsi" w:hAnsiTheme="minorHAnsi" w:cstheme="minorHAnsi"/>
        </w:rPr>
        <w:t>esting</w:t>
      </w:r>
      <w:bookmarkEnd w:id="6"/>
    </w:p>
    <w:p w14:paraId="0882D6D8" w14:textId="24E3828E" w:rsidR="00C3056E" w:rsidRPr="008704BA" w:rsidRDefault="00C3056E" w:rsidP="005D5E21">
      <w:pPr>
        <w:tabs>
          <w:tab w:val="left" w:pos="776"/>
        </w:tabs>
        <w:jc w:val="both"/>
        <w:rPr>
          <w:rFonts w:cstheme="minorHAnsi"/>
          <w:lang w:val="en"/>
        </w:rPr>
      </w:pPr>
      <w:r w:rsidRPr="008704BA">
        <w:rPr>
          <w:rFonts w:cstheme="minorHAnsi"/>
          <w:lang w:val="en"/>
        </w:rPr>
        <w:t xml:space="preserve">We introduce scenario assumptions to estimate the carbon fees that </w:t>
      </w:r>
      <w:r w:rsidR="00817B92" w:rsidRPr="008704BA">
        <w:rPr>
          <w:rFonts w:cstheme="minorHAnsi"/>
          <w:lang w:val="en"/>
        </w:rPr>
        <w:t>clients</w:t>
      </w:r>
      <w:r w:rsidRPr="008704BA">
        <w:rPr>
          <w:rFonts w:cstheme="minorHAnsi"/>
          <w:lang w:val="en"/>
        </w:rPr>
        <w:t xml:space="preserve"> with high environmental risks may bear in the future for scenario analysis. This scenario assumes that carbon price parameters are provided by The Network for Greening the Financial System (NGFS) as a globally applicable indicator of the economic impact of climate change</w:t>
      </w:r>
      <w:r w:rsidR="00413A30" w:rsidRPr="008704BA">
        <w:rPr>
          <w:rFonts w:cstheme="minorHAnsi"/>
          <w:lang w:val="en"/>
        </w:rPr>
        <w:t xml:space="preserve"> </w:t>
      </w:r>
      <w:r w:rsidR="009A5C37" w:rsidRPr="008704BA">
        <w:rPr>
          <w:rFonts w:cstheme="minorHAnsi"/>
          <w:lang w:val="en"/>
        </w:rPr>
        <w:t>(</w:t>
      </w:r>
      <w:r w:rsidR="00413A30" w:rsidRPr="008704BA">
        <w:rPr>
          <w:rFonts w:cstheme="minorHAnsi"/>
          <w:lang w:val="en"/>
        </w:rPr>
        <w:t>refer to Figure 3</w:t>
      </w:r>
      <w:r w:rsidR="009A5C37" w:rsidRPr="008704BA">
        <w:rPr>
          <w:rFonts w:cstheme="minorHAnsi"/>
          <w:lang w:val="en"/>
        </w:rPr>
        <w:t>)</w:t>
      </w:r>
      <w:r w:rsidRPr="008704BA">
        <w:rPr>
          <w:rFonts w:cstheme="minorHAnsi"/>
          <w:lang w:val="en"/>
        </w:rPr>
        <w:t xml:space="preserve">. We choose the following two scenarios to assess the carbon costs that high environmental risk </w:t>
      </w:r>
      <w:r w:rsidR="00817B92" w:rsidRPr="008704BA">
        <w:rPr>
          <w:rFonts w:cstheme="minorHAnsi"/>
          <w:lang w:val="en"/>
        </w:rPr>
        <w:t>clients</w:t>
      </w:r>
      <w:r w:rsidRPr="008704BA">
        <w:rPr>
          <w:rFonts w:cstheme="minorHAnsi"/>
          <w:lang w:val="en"/>
        </w:rPr>
        <w:t xml:space="preserve"> may face in</w:t>
      </w:r>
      <w:r w:rsidR="006C4D1C" w:rsidRPr="008704BA">
        <w:rPr>
          <w:rFonts w:cstheme="minorHAnsi"/>
          <w:lang w:val="en"/>
        </w:rPr>
        <w:t xml:space="preserve"> 20</w:t>
      </w:r>
      <w:r w:rsidR="008613A5" w:rsidRPr="008704BA">
        <w:rPr>
          <w:rFonts w:cstheme="minorHAnsi"/>
          <w:lang w:val="en"/>
        </w:rPr>
        <w:t>2</w:t>
      </w:r>
      <w:r w:rsidR="006C4D1C" w:rsidRPr="008704BA">
        <w:rPr>
          <w:rFonts w:cstheme="minorHAnsi"/>
          <w:lang w:val="en"/>
        </w:rPr>
        <w:t>5, 2050 and 2100</w:t>
      </w:r>
      <w:r w:rsidRPr="008704BA">
        <w:rPr>
          <w:rFonts w:cstheme="minorHAnsi"/>
          <w:lang w:val="en"/>
        </w:rPr>
        <w:t>:</w:t>
      </w:r>
    </w:p>
    <w:p w14:paraId="639E047D" w14:textId="4EF59F1B" w:rsidR="008B7832" w:rsidRPr="008704BA" w:rsidRDefault="008B7832" w:rsidP="005D5E21">
      <w:pPr>
        <w:pStyle w:val="ListParagraph"/>
        <w:numPr>
          <w:ilvl w:val="0"/>
          <w:numId w:val="15"/>
        </w:numPr>
        <w:tabs>
          <w:tab w:val="left" w:pos="776"/>
        </w:tabs>
        <w:ind w:leftChars="0"/>
        <w:jc w:val="both"/>
        <w:rPr>
          <w:rFonts w:cstheme="minorHAnsi"/>
        </w:rPr>
      </w:pPr>
      <w:r w:rsidRPr="008704BA">
        <w:rPr>
          <w:rFonts w:cstheme="minorHAnsi"/>
          <w:b/>
          <w:bCs/>
        </w:rPr>
        <w:t>Orderly-Net Zero 2050:</w:t>
      </w:r>
      <w:r w:rsidRPr="008704BA">
        <w:rPr>
          <w:rFonts w:cstheme="minorHAnsi"/>
        </w:rPr>
        <w:t xml:space="preserve"> Countries adopt active climate policies, and the global temperature will be controlled within 1.5°C to </w:t>
      </w:r>
      <w:r w:rsidR="00111EAA" w:rsidRPr="008704BA">
        <w:rPr>
          <w:rFonts w:cstheme="minorHAnsi"/>
        </w:rPr>
        <w:t>achieve zero</w:t>
      </w:r>
      <w:r w:rsidRPr="008704BA">
        <w:rPr>
          <w:rFonts w:cstheme="minorHAnsi"/>
        </w:rPr>
        <w:t xml:space="preserve"> emissions by 2050.</w:t>
      </w:r>
    </w:p>
    <w:p w14:paraId="31766A83" w14:textId="3E802617" w:rsidR="005358EC" w:rsidRPr="008704BA" w:rsidRDefault="008B7832" w:rsidP="005D5E21">
      <w:pPr>
        <w:pStyle w:val="ListParagraph"/>
        <w:numPr>
          <w:ilvl w:val="0"/>
          <w:numId w:val="15"/>
        </w:numPr>
        <w:tabs>
          <w:tab w:val="left" w:pos="776"/>
        </w:tabs>
        <w:ind w:leftChars="0"/>
        <w:jc w:val="both"/>
        <w:rPr>
          <w:rFonts w:cstheme="minorHAnsi"/>
        </w:rPr>
      </w:pPr>
      <w:r w:rsidRPr="008704BA">
        <w:rPr>
          <w:rFonts w:cstheme="minorHAnsi"/>
          <w:b/>
          <w:bCs/>
        </w:rPr>
        <w:t>Hot House World - Current Policies:</w:t>
      </w:r>
      <w:r w:rsidRPr="008704BA">
        <w:rPr>
          <w:rFonts w:cstheme="minorHAnsi"/>
        </w:rPr>
        <w:t xml:space="preserve"> Countries have not implemented new policies, greenhouse gas emissions continue to increase, and the global temperature will increase by more than 3°C by the end of the century.</w:t>
      </w:r>
    </w:p>
    <w:p w14:paraId="2F938ACF" w14:textId="77777777" w:rsidR="00594276" w:rsidRPr="008704BA" w:rsidRDefault="00594276" w:rsidP="002927DF">
      <w:pPr>
        <w:pStyle w:val="ListParagraph"/>
        <w:tabs>
          <w:tab w:val="left" w:pos="776"/>
        </w:tabs>
        <w:ind w:leftChars="0"/>
        <w:rPr>
          <w:rFonts w:cstheme="minorHAnsi"/>
        </w:rPr>
      </w:pPr>
    </w:p>
    <w:p w14:paraId="4660BC5E" w14:textId="391FA377" w:rsidR="002828BF" w:rsidRPr="008704BA" w:rsidRDefault="005358EC" w:rsidP="00572AEA">
      <w:pPr>
        <w:pStyle w:val="ListParagraph"/>
        <w:tabs>
          <w:tab w:val="left" w:pos="776"/>
        </w:tabs>
        <w:ind w:leftChars="0"/>
        <w:jc w:val="center"/>
        <w:rPr>
          <w:rFonts w:cstheme="minorHAnsi"/>
        </w:rPr>
      </w:pPr>
      <w:r w:rsidRPr="008704BA">
        <w:rPr>
          <w:rFonts w:cstheme="minorHAnsi"/>
          <w:noProof/>
          <w:lang w:val="en-US"/>
        </w:rPr>
        <w:drawing>
          <wp:inline distT="0" distB="0" distL="0" distR="0" wp14:anchorId="09276365" wp14:editId="49CFC177">
            <wp:extent cx="4077149" cy="3524250"/>
            <wp:effectExtent l="0" t="0" r="0" b="0"/>
            <wp:docPr id="3" name="圖片 1">
              <a:extLst xmlns:a="http://schemas.openxmlformats.org/drawingml/2006/main">
                <a:ext uri="{FF2B5EF4-FFF2-40B4-BE49-F238E27FC236}">
                  <a16:creationId xmlns:a16="http://schemas.microsoft.com/office/drawing/2014/main" id="{23F017A8-5804-4F87-A503-38AC682301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1">
                      <a:extLst>
                        <a:ext uri="{FF2B5EF4-FFF2-40B4-BE49-F238E27FC236}">
                          <a16:creationId xmlns:a16="http://schemas.microsoft.com/office/drawing/2014/main" id="{23F017A8-5804-4F87-A503-38AC68230133}"/>
                        </a:ext>
                      </a:extLst>
                    </pic:cNvPr>
                    <pic:cNvPicPr>
                      <a:picLocks noChangeAspect="1"/>
                    </pic:cNvPicPr>
                  </pic:nvPicPr>
                  <pic:blipFill rotWithShape="1">
                    <a:blip r:embed="rId22">
                      <a:duotone>
                        <a:schemeClr val="accent6">
                          <a:shade val="45000"/>
                          <a:satMod val="135000"/>
                        </a:schemeClr>
                        <a:prstClr val="white"/>
                      </a:duotone>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val="0"/>
                        </a:ext>
                      </a:extLst>
                    </a:blip>
                    <a:srcRect t="6723"/>
                    <a:stretch/>
                  </pic:blipFill>
                  <pic:spPr bwMode="auto">
                    <a:xfrm>
                      <a:off x="0" y="0"/>
                      <a:ext cx="4077385" cy="3524454"/>
                    </a:xfrm>
                    <a:prstGeom prst="rect">
                      <a:avLst/>
                    </a:prstGeom>
                    <a:ln>
                      <a:noFill/>
                    </a:ln>
                    <a:extLst>
                      <a:ext uri="{53640926-AAD7-44D8-BBD7-CCE9431645EC}">
                        <a14:shadowObscured xmlns:a14="http://schemas.microsoft.com/office/drawing/2010/main"/>
                      </a:ext>
                    </a:extLst>
                  </pic:spPr>
                </pic:pic>
              </a:graphicData>
            </a:graphic>
          </wp:inline>
        </w:drawing>
      </w:r>
    </w:p>
    <w:p w14:paraId="41008E50" w14:textId="1B22B779" w:rsidR="00243FD7" w:rsidRPr="008704BA" w:rsidRDefault="00243FD7" w:rsidP="00572AEA">
      <w:pPr>
        <w:pStyle w:val="ListParagraph"/>
        <w:tabs>
          <w:tab w:val="left" w:pos="776"/>
        </w:tabs>
        <w:ind w:leftChars="0"/>
        <w:jc w:val="center"/>
        <w:rPr>
          <w:rFonts w:cstheme="minorHAnsi"/>
        </w:rPr>
      </w:pPr>
      <w:r w:rsidRPr="008704BA">
        <w:rPr>
          <w:rFonts w:cstheme="minorHAnsi"/>
        </w:rPr>
        <w:t>Figure</w:t>
      </w:r>
      <w:r w:rsidR="00594276" w:rsidRPr="008704BA">
        <w:rPr>
          <w:rFonts w:cstheme="minorHAnsi"/>
        </w:rPr>
        <w:t xml:space="preserve"> </w:t>
      </w:r>
      <w:r w:rsidR="00BC2268" w:rsidRPr="008704BA">
        <w:rPr>
          <w:rFonts w:cstheme="minorHAnsi"/>
        </w:rPr>
        <w:t>3</w:t>
      </w:r>
      <w:r w:rsidRPr="008704BA">
        <w:rPr>
          <w:rFonts w:cstheme="minorHAnsi"/>
        </w:rPr>
        <w:t>:</w:t>
      </w:r>
      <w:r w:rsidR="001021AE" w:rsidRPr="008704BA">
        <w:rPr>
          <w:rFonts w:cstheme="minorHAnsi"/>
        </w:rPr>
        <w:t xml:space="preserve"> NGFS Scenarios Framework</w:t>
      </w:r>
      <w:r w:rsidR="00E57B58" w:rsidRPr="008704BA">
        <w:rPr>
          <w:rStyle w:val="FootnoteReference"/>
          <w:rFonts w:cstheme="minorHAnsi"/>
        </w:rPr>
        <w:footnoteReference w:id="3"/>
      </w:r>
    </w:p>
    <w:p w14:paraId="7DF0121D" w14:textId="1DE55B73" w:rsidR="00243FD7" w:rsidRPr="008704BA" w:rsidRDefault="000132E8" w:rsidP="00C745E7">
      <w:pPr>
        <w:tabs>
          <w:tab w:val="left" w:pos="776"/>
        </w:tabs>
        <w:jc w:val="both"/>
        <w:rPr>
          <w:rFonts w:cstheme="minorHAnsi"/>
        </w:rPr>
      </w:pPr>
      <w:r w:rsidRPr="008704BA">
        <w:rPr>
          <w:rFonts w:cstheme="minorHAnsi"/>
        </w:rPr>
        <w:t xml:space="preserve">Because credit </w:t>
      </w:r>
      <w:r w:rsidR="006F40C4" w:rsidRPr="008704BA">
        <w:rPr>
          <w:rFonts w:cstheme="minorHAnsi"/>
        </w:rPr>
        <w:t>client</w:t>
      </w:r>
      <w:r w:rsidRPr="008704BA">
        <w:rPr>
          <w:rFonts w:cstheme="minorHAnsi"/>
        </w:rPr>
        <w:t xml:space="preserve">s may be affected by carbon fees imposed by the government in the future, they </w:t>
      </w:r>
      <w:r w:rsidR="00CA0113" w:rsidRPr="008704BA">
        <w:rPr>
          <w:rFonts w:cstheme="minorHAnsi"/>
        </w:rPr>
        <w:t>will</w:t>
      </w:r>
      <w:r w:rsidRPr="008704BA">
        <w:rPr>
          <w:rFonts w:cstheme="minorHAnsi"/>
        </w:rPr>
        <w:t xml:space="preserve"> bear additional costs to comply with regulatory requirements, and the additional costs will affect their net worth and increase their default rate. Therefore, we </w:t>
      </w:r>
      <w:r w:rsidR="00DF2DE6" w:rsidRPr="008704BA">
        <w:rPr>
          <w:rFonts w:cstheme="minorHAnsi"/>
        </w:rPr>
        <w:t xml:space="preserve">conduct the </w:t>
      </w:r>
      <w:r w:rsidR="00D36D94" w:rsidRPr="008704BA">
        <w:rPr>
          <w:rFonts w:cstheme="minorHAnsi"/>
        </w:rPr>
        <w:t>stress testing</w:t>
      </w:r>
      <w:r w:rsidR="006F40C4" w:rsidRPr="008704BA">
        <w:rPr>
          <w:rFonts w:cstheme="minorHAnsi"/>
        </w:rPr>
        <w:t xml:space="preserve"> by factoring</w:t>
      </w:r>
      <w:r w:rsidRPr="008704BA">
        <w:rPr>
          <w:rFonts w:cstheme="minorHAnsi"/>
        </w:rPr>
        <w:t xml:space="preserve"> the carbon costs in 2025 for both scenarios into the financial statements of credit </w:t>
      </w:r>
      <w:r w:rsidR="006F40C4" w:rsidRPr="008704BA">
        <w:rPr>
          <w:rFonts w:cstheme="minorHAnsi"/>
        </w:rPr>
        <w:t>client</w:t>
      </w:r>
      <w:r w:rsidRPr="008704BA">
        <w:rPr>
          <w:rFonts w:cstheme="minorHAnsi"/>
        </w:rPr>
        <w:t xml:space="preserve">s to assess the potential financial impact. We first calculate that the carbon fee levied in the future will be reasonably reflected in the current </w:t>
      </w:r>
      <w:r w:rsidR="006F40C4" w:rsidRPr="008704BA">
        <w:rPr>
          <w:rFonts w:cstheme="minorHAnsi"/>
        </w:rPr>
        <w:t>client</w:t>
      </w:r>
      <w:r w:rsidRPr="008704BA">
        <w:rPr>
          <w:rFonts w:cstheme="minorHAnsi"/>
        </w:rPr>
        <w:t>'s financial performance, and then further calculate the respective default rate and expected credit loss rate</w:t>
      </w:r>
      <w:r w:rsidR="00D36D94" w:rsidRPr="008704BA">
        <w:rPr>
          <w:rFonts w:cstheme="minorHAnsi"/>
        </w:rPr>
        <w:t xml:space="preserve"> (ECL)</w:t>
      </w:r>
      <w:r w:rsidRPr="008704BA">
        <w:rPr>
          <w:rFonts w:cstheme="minorHAnsi"/>
        </w:rPr>
        <w:t xml:space="preserve"> to assess whether this risk is within the reasonable scope of the bank.</w:t>
      </w:r>
    </w:p>
    <w:p w14:paraId="69618866" w14:textId="77777777" w:rsidR="00C745E7" w:rsidRPr="008704BA" w:rsidRDefault="00C745E7" w:rsidP="00C745E7">
      <w:pPr>
        <w:tabs>
          <w:tab w:val="left" w:pos="776"/>
        </w:tabs>
        <w:jc w:val="both"/>
        <w:rPr>
          <w:rFonts w:cstheme="minorHAnsi"/>
        </w:rPr>
      </w:pPr>
    </w:p>
    <w:p w14:paraId="12D3709B" w14:textId="1A0AA961" w:rsidR="009A6BF3" w:rsidRPr="008704BA" w:rsidRDefault="00B86FE2" w:rsidP="006F1F36">
      <w:pPr>
        <w:pStyle w:val="Heading2"/>
        <w:rPr>
          <w:rFonts w:asciiTheme="minorHAnsi" w:hAnsiTheme="minorHAnsi" w:cstheme="minorHAnsi"/>
        </w:rPr>
      </w:pPr>
      <w:bookmarkStart w:id="7" w:name="_Toc106234007"/>
      <w:r w:rsidRPr="008704BA">
        <w:rPr>
          <w:rFonts w:asciiTheme="minorHAnsi" w:hAnsiTheme="minorHAnsi" w:cstheme="minorHAnsi"/>
        </w:rPr>
        <w:t>3.</w:t>
      </w:r>
      <w:r w:rsidR="00A027FC" w:rsidRPr="008704BA">
        <w:rPr>
          <w:rFonts w:asciiTheme="minorHAnsi" w:hAnsiTheme="minorHAnsi" w:cstheme="minorHAnsi"/>
        </w:rPr>
        <w:t>4</w:t>
      </w:r>
      <w:r w:rsidR="00696A0D" w:rsidRPr="008704BA">
        <w:rPr>
          <w:rFonts w:asciiTheme="minorHAnsi" w:hAnsiTheme="minorHAnsi" w:cstheme="minorHAnsi"/>
        </w:rPr>
        <w:t xml:space="preserve"> </w:t>
      </w:r>
      <w:r w:rsidR="00CD6A12" w:rsidRPr="008704BA">
        <w:rPr>
          <w:rFonts w:asciiTheme="minorHAnsi" w:hAnsiTheme="minorHAnsi" w:cstheme="minorHAnsi"/>
        </w:rPr>
        <w:t xml:space="preserve">Development and </w:t>
      </w:r>
      <w:r w:rsidR="008668DB" w:rsidRPr="008704BA">
        <w:rPr>
          <w:rFonts w:asciiTheme="minorHAnsi" w:hAnsiTheme="minorHAnsi" w:cstheme="minorHAnsi"/>
        </w:rPr>
        <w:t>Training</w:t>
      </w:r>
      <w:bookmarkEnd w:id="7"/>
    </w:p>
    <w:p w14:paraId="3064B11F" w14:textId="0787EE53" w:rsidR="00C745E7" w:rsidRPr="008704BA" w:rsidRDefault="005E36A0" w:rsidP="00F438D8">
      <w:pPr>
        <w:jc w:val="both"/>
        <w:rPr>
          <w:rFonts w:cstheme="minorHAnsi"/>
        </w:rPr>
      </w:pPr>
      <w:r w:rsidRPr="008704BA">
        <w:rPr>
          <w:rFonts w:cstheme="minorHAnsi"/>
          <w:lang w:val="en"/>
        </w:rPr>
        <w:t>We</w:t>
      </w:r>
      <w:r w:rsidR="00D36D94" w:rsidRPr="008704BA">
        <w:rPr>
          <w:rFonts w:cstheme="minorHAnsi"/>
          <w:lang w:val="en"/>
        </w:rPr>
        <w:t xml:space="preserve"> </w:t>
      </w:r>
      <w:r w:rsidR="00EC5B0A" w:rsidRPr="008704BA">
        <w:rPr>
          <w:rFonts w:cstheme="minorHAnsi"/>
          <w:lang w:val="en"/>
        </w:rPr>
        <w:t xml:space="preserve">regularly provide environmental risk management </w:t>
      </w:r>
      <w:r w:rsidR="0073314E" w:rsidRPr="008704BA">
        <w:rPr>
          <w:rFonts w:cstheme="minorHAnsi"/>
          <w:lang w:val="en"/>
        </w:rPr>
        <w:t>training</w:t>
      </w:r>
      <w:r w:rsidR="00EC5B0A" w:rsidRPr="008704BA">
        <w:rPr>
          <w:rFonts w:cstheme="minorHAnsi"/>
          <w:lang w:val="en"/>
        </w:rPr>
        <w:t xml:space="preserve"> for branch personnel and reviewers, so that employees have sufficient environmental risk expertise, and regularly reviews the effectiveness of training. Furthermore, </w:t>
      </w:r>
      <w:r w:rsidR="0073314E" w:rsidRPr="008704BA">
        <w:rPr>
          <w:rFonts w:cstheme="minorHAnsi"/>
          <w:lang w:val="en"/>
        </w:rPr>
        <w:t>training</w:t>
      </w:r>
      <w:r w:rsidR="00EC5B0A" w:rsidRPr="008704BA">
        <w:rPr>
          <w:rFonts w:cstheme="minorHAnsi"/>
          <w:lang w:val="en"/>
        </w:rPr>
        <w:t xml:space="preserve"> shall immediately incorporate emerging issues related to environmental risk. </w:t>
      </w:r>
      <w:r w:rsidR="00D36D94" w:rsidRPr="008704BA">
        <w:rPr>
          <w:rFonts w:cstheme="minorHAnsi"/>
          <w:lang w:val="en"/>
        </w:rPr>
        <w:t>In 2022, we hold</w:t>
      </w:r>
      <w:r w:rsidR="00D36D94" w:rsidRPr="008704BA" w:rsidDel="000A762A">
        <w:rPr>
          <w:rFonts w:cstheme="minorHAnsi"/>
          <w:lang w:val="en"/>
        </w:rPr>
        <w:t xml:space="preserve"> </w:t>
      </w:r>
      <w:r w:rsidR="00D36D94" w:rsidRPr="008704BA">
        <w:rPr>
          <w:rFonts w:cstheme="minorHAnsi"/>
          <w:lang w:val="en"/>
        </w:rPr>
        <w:t>training</w:t>
      </w:r>
      <w:r w:rsidR="000A762A" w:rsidRPr="008704BA">
        <w:rPr>
          <w:rFonts w:cstheme="minorHAnsi"/>
          <w:lang w:val="en"/>
        </w:rPr>
        <w:t>s</w:t>
      </w:r>
      <w:r w:rsidR="00D36D94" w:rsidRPr="008704BA">
        <w:rPr>
          <w:rFonts w:cstheme="minorHAnsi"/>
          <w:lang w:val="en"/>
        </w:rPr>
        <w:t xml:space="preserve"> on environmental risk management for all colleagues.</w:t>
      </w:r>
    </w:p>
    <w:p w14:paraId="67B1342E" w14:textId="77777777" w:rsidR="00D263C5" w:rsidRPr="008704BA" w:rsidRDefault="00D263C5" w:rsidP="00FD63DD">
      <w:pPr>
        <w:rPr>
          <w:rFonts w:cstheme="minorHAnsi"/>
        </w:rPr>
      </w:pPr>
    </w:p>
    <w:p w14:paraId="3489C576" w14:textId="0C24B1AF" w:rsidR="00A46A29" w:rsidRPr="008704BA" w:rsidRDefault="00EE047B" w:rsidP="00F43A94">
      <w:pPr>
        <w:pStyle w:val="Heading1"/>
        <w:rPr>
          <w:rStyle w:val="Heading1Char"/>
          <w:rFonts w:asciiTheme="minorHAnsi" w:hAnsiTheme="minorHAnsi" w:cstheme="minorHAnsi"/>
          <w:b/>
          <w:bCs/>
        </w:rPr>
      </w:pPr>
      <w:bookmarkStart w:id="8" w:name="_Toc106234008"/>
      <w:r w:rsidRPr="008704BA">
        <w:rPr>
          <w:rFonts w:asciiTheme="minorHAnsi" w:hAnsiTheme="minorHAnsi" w:cstheme="minorHAnsi"/>
        </w:rPr>
        <w:t>S</w:t>
      </w:r>
      <w:r w:rsidR="00A46A29" w:rsidRPr="008704BA">
        <w:rPr>
          <w:rStyle w:val="Heading1Char"/>
          <w:rFonts w:asciiTheme="minorHAnsi" w:hAnsiTheme="minorHAnsi" w:cstheme="minorHAnsi"/>
          <w:b/>
          <w:bCs/>
        </w:rPr>
        <w:t>ection</w:t>
      </w:r>
      <w:r w:rsidR="00597D41" w:rsidRPr="008704BA">
        <w:rPr>
          <w:rStyle w:val="Heading1Char"/>
          <w:rFonts w:asciiTheme="minorHAnsi" w:hAnsiTheme="minorHAnsi" w:cstheme="minorHAnsi"/>
          <w:b/>
          <w:bCs/>
        </w:rPr>
        <w:t xml:space="preserve"> </w:t>
      </w:r>
      <w:r w:rsidR="00A46A29" w:rsidRPr="008704BA">
        <w:rPr>
          <w:rStyle w:val="Heading1Char"/>
          <w:rFonts w:asciiTheme="minorHAnsi" w:hAnsiTheme="minorHAnsi" w:cstheme="minorHAnsi"/>
          <w:b/>
          <w:bCs/>
        </w:rPr>
        <w:t>4 Metrics and Targets</w:t>
      </w:r>
      <w:bookmarkEnd w:id="8"/>
    </w:p>
    <w:p w14:paraId="50EDADD6" w14:textId="02F210FD" w:rsidR="008D19A1" w:rsidRPr="008704BA" w:rsidRDefault="00FD63DD" w:rsidP="00EE047B">
      <w:pPr>
        <w:rPr>
          <w:rFonts w:cstheme="minorHAnsi"/>
        </w:rPr>
      </w:pPr>
      <w:r w:rsidRPr="008704BA">
        <w:rPr>
          <w:rFonts w:cstheme="minorHAnsi"/>
        </w:rPr>
        <w:t>This section presents the results of our review of existing high environmental risk case</w:t>
      </w:r>
      <w:r w:rsidR="00053523" w:rsidRPr="008704BA">
        <w:rPr>
          <w:rFonts w:cstheme="minorHAnsi"/>
        </w:rPr>
        <w:t>s</w:t>
      </w:r>
      <w:r w:rsidRPr="008704BA">
        <w:rPr>
          <w:rFonts w:cstheme="minorHAnsi"/>
        </w:rPr>
        <w:t>, climate scenario analysis and stress testing.</w:t>
      </w:r>
    </w:p>
    <w:p w14:paraId="0E777F98" w14:textId="77777777" w:rsidR="00145305" w:rsidRPr="008704BA" w:rsidRDefault="00145305" w:rsidP="00EE047B">
      <w:pPr>
        <w:rPr>
          <w:rFonts w:cstheme="minorHAnsi"/>
        </w:rPr>
      </w:pPr>
    </w:p>
    <w:p w14:paraId="6196CFB5" w14:textId="47A36490" w:rsidR="00AF7857" w:rsidRPr="008704BA" w:rsidRDefault="00AF7857" w:rsidP="00243B1D">
      <w:pPr>
        <w:pStyle w:val="Heading2"/>
        <w:rPr>
          <w:rFonts w:asciiTheme="minorHAnsi" w:hAnsiTheme="minorHAnsi" w:cstheme="minorHAnsi"/>
        </w:rPr>
      </w:pPr>
      <w:bookmarkStart w:id="9" w:name="_Toc106234009"/>
      <w:r w:rsidRPr="008704BA">
        <w:rPr>
          <w:rFonts w:asciiTheme="minorHAnsi" w:hAnsiTheme="minorHAnsi" w:cstheme="minorHAnsi"/>
        </w:rPr>
        <w:t>4.</w:t>
      </w:r>
      <w:r w:rsidR="00F8112C" w:rsidRPr="008704BA">
        <w:rPr>
          <w:rFonts w:asciiTheme="minorHAnsi" w:hAnsiTheme="minorHAnsi" w:cstheme="minorHAnsi"/>
        </w:rPr>
        <w:t>1</w:t>
      </w:r>
      <w:r w:rsidR="00EC1866" w:rsidRPr="008704BA">
        <w:rPr>
          <w:rFonts w:asciiTheme="minorHAnsi" w:hAnsiTheme="minorHAnsi" w:cstheme="minorHAnsi"/>
        </w:rPr>
        <w:t xml:space="preserve"> </w:t>
      </w:r>
      <w:r w:rsidR="00B72E45" w:rsidRPr="008704BA">
        <w:rPr>
          <w:rFonts w:asciiTheme="minorHAnsi" w:hAnsiTheme="minorHAnsi" w:cstheme="minorHAnsi"/>
        </w:rPr>
        <w:t>Review of Existing High Environmental Risk Cases</w:t>
      </w:r>
      <w:bookmarkEnd w:id="9"/>
    </w:p>
    <w:p w14:paraId="468583D4" w14:textId="72A5BC02" w:rsidR="00FC67AF" w:rsidRPr="008704BA" w:rsidRDefault="00681782" w:rsidP="00122838">
      <w:pPr>
        <w:jc w:val="both"/>
        <w:rPr>
          <w:rFonts w:cstheme="minorHAnsi"/>
        </w:rPr>
      </w:pPr>
      <w:r w:rsidRPr="008704BA">
        <w:rPr>
          <w:rFonts w:cstheme="minorHAnsi"/>
        </w:rPr>
        <w:t xml:space="preserve">As of </w:t>
      </w:r>
      <w:r w:rsidR="007447DE" w:rsidRPr="008704BA">
        <w:rPr>
          <w:rFonts w:cstheme="minorHAnsi"/>
        </w:rPr>
        <w:t xml:space="preserve">28 </w:t>
      </w:r>
      <w:r w:rsidR="006F5E59" w:rsidRPr="008704BA">
        <w:rPr>
          <w:rFonts w:cstheme="minorHAnsi"/>
        </w:rPr>
        <w:t>February 2022</w:t>
      </w:r>
      <w:r w:rsidRPr="008704BA">
        <w:rPr>
          <w:rFonts w:cstheme="minorHAnsi"/>
        </w:rPr>
        <w:t>, we had 8 high environmental risk</w:t>
      </w:r>
      <w:r w:rsidR="00371F8A" w:rsidRPr="008704BA">
        <w:rPr>
          <w:rFonts w:cstheme="minorHAnsi"/>
        </w:rPr>
        <w:t xml:space="preserve"> outstanding</w:t>
      </w:r>
      <w:r w:rsidRPr="008704BA">
        <w:rPr>
          <w:rFonts w:cstheme="minorHAnsi"/>
        </w:rPr>
        <w:t xml:space="preserve"> credit cases</w:t>
      </w:r>
      <w:r w:rsidR="008D5DB3" w:rsidRPr="008704BA">
        <w:rPr>
          <w:rFonts w:cstheme="minorHAnsi"/>
        </w:rPr>
        <w:t xml:space="preserve"> </w:t>
      </w:r>
      <w:r w:rsidR="009A5C37" w:rsidRPr="008704BA">
        <w:rPr>
          <w:rFonts w:cstheme="minorHAnsi"/>
        </w:rPr>
        <w:t>(</w:t>
      </w:r>
      <w:r w:rsidR="008D5DB3" w:rsidRPr="008704BA">
        <w:rPr>
          <w:rFonts w:cstheme="minorHAnsi"/>
        </w:rPr>
        <w:t>refer to Figure 4</w:t>
      </w:r>
      <w:r w:rsidR="009A5C37" w:rsidRPr="008704BA">
        <w:rPr>
          <w:rFonts w:cstheme="minorHAnsi"/>
        </w:rPr>
        <w:t>)</w:t>
      </w:r>
      <w:r w:rsidR="00371F8A" w:rsidRPr="008704BA">
        <w:rPr>
          <w:rFonts w:cstheme="minorHAnsi"/>
        </w:rPr>
        <w:t>,</w:t>
      </w:r>
      <w:r w:rsidRPr="008704BA">
        <w:rPr>
          <w:rFonts w:cstheme="minorHAnsi"/>
        </w:rPr>
        <w:t xml:space="preserve"> with an approved credit line of approximately US$134 million, accounting for 28% of the total approved credit line</w:t>
      </w:r>
      <w:r w:rsidR="008D5DB3" w:rsidRPr="008704BA">
        <w:rPr>
          <w:rFonts w:cstheme="minorHAnsi"/>
        </w:rPr>
        <w:t xml:space="preserve"> </w:t>
      </w:r>
      <w:r w:rsidR="009A5C37" w:rsidRPr="008704BA">
        <w:rPr>
          <w:rFonts w:cstheme="minorHAnsi"/>
        </w:rPr>
        <w:t>(</w:t>
      </w:r>
      <w:r w:rsidR="008D5DB3" w:rsidRPr="008704BA">
        <w:rPr>
          <w:rFonts w:cstheme="minorHAnsi"/>
        </w:rPr>
        <w:t>refer to Figure 5</w:t>
      </w:r>
      <w:r w:rsidR="009A5C37" w:rsidRPr="008704BA">
        <w:rPr>
          <w:rFonts w:cstheme="minorHAnsi"/>
        </w:rPr>
        <w:t>)</w:t>
      </w:r>
      <w:r w:rsidRPr="008704BA">
        <w:rPr>
          <w:rFonts w:cstheme="minorHAnsi"/>
        </w:rPr>
        <w:t>.</w:t>
      </w:r>
      <w:bookmarkStart w:id="10" w:name="_Hlk105664709"/>
    </w:p>
    <w:bookmarkEnd w:id="10"/>
    <w:p w14:paraId="606EEC0C" w14:textId="3793AB36" w:rsidR="00C710F2" w:rsidRPr="008704BA" w:rsidRDefault="00FB1758" w:rsidP="009A5C37">
      <w:pPr>
        <w:ind w:leftChars="300" w:left="720"/>
        <w:jc w:val="center"/>
        <w:rPr>
          <w:rFonts w:cstheme="minorHAnsi"/>
        </w:rPr>
      </w:pPr>
      <w:r w:rsidRPr="008704BA">
        <w:rPr>
          <w:rFonts w:cstheme="minorHAnsi"/>
          <w:b/>
          <w:bCs/>
          <w:noProof/>
        </w:rPr>
        <w:drawing>
          <wp:inline distT="0" distB="0" distL="0" distR="0" wp14:anchorId="3F33662F" wp14:editId="2A6B9F5C">
            <wp:extent cx="4895850" cy="2622550"/>
            <wp:effectExtent l="0" t="0" r="0" b="6350"/>
            <wp:docPr id="7" name="圖表 7">
              <a:extLst xmlns:a="http://schemas.openxmlformats.org/drawingml/2006/main">
                <a:ext uri="{FF2B5EF4-FFF2-40B4-BE49-F238E27FC236}">
                  <a16:creationId xmlns:a16="http://schemas.microsoft.com/office/drawing/2014/main" id="{3FEF3344-3EF7-4ACF-A079-BD6C68A1B2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D936AED" w14:textId="6C4BDA03" w:rsidR="00DC50FF" w:rsidRPr="008704BA" w:rsidRDefault="00DC50FF" w:rsidP="00DC50FF">
      <w:pPr>
        <w:jc w:val="center"/>
        <w:rPr>
          <w:rFonts w:cstheme="minorHAnsi"/>
        </w:rPr>
      </w:pPr>
      <w:r w:rsidRPr="008704BA">
        <w:rPr>
          <w:rFonts w:cstheme="minorHAnsi"/>
        </w:rPr>
        <w:t>Figure</w:t>
      </w:r>
      <w:r w:rsidR="00594276" w:rsidRPr="008704BA">
        <w:rPr>
          <w:rFonts w:cstheme="minorHAnsi"/>
        </w:rPr>
        <w:t xml:space="preserve"> </w:t>
      </w:r>
      <w:r w:rsidR="004935D4" w:rsidRPr="008704BA">
        <w:rPr>
          <w:rFonts w:cstheme="minorHAnsi"/>
        </w:rPr>
        <w:t>4</w:t>
      </w:r>
      <w:r w:rsidRPr="008704BA">
        <w:rPr>
          <w:rFonts w:cstheme="minorHAnsi"/>
        </w:rPr>
        <w:t>: The number of high environmental risk and non-high environmental risk credit cases</w:t>
      </w:r>
    </w:p>
    <w:p w14:paraId="4B4E4310" w14:textId="77777777" w:rsidR="00C710F2" w:rsidRPr="008704BA" w:rsidRDefault="00C710F2" w:rsidP="00DC50FF">
      <w:pPr>
        <w:jc w:val="center"/>
        <w:rPr>
          <w:rFonts w:cstheme="minorHAnsi"/>
        </w:rPr>
      </w:pPr>
    </w:p>
    <w:p w14:paraId="618520DA" w14:textId="6EECFC7C" w:rsidR="00AF7857" w:rsidRPr="008704BA" w:rsidRDefault="00D926A2" w:rsidP="00BE3C39">
      <w:pPr>
        <w:jc w:val="center"/>
        <w:rPr>
          <w:rFonts w:cstheme="minorHAnsi"/>
        </w:rPr>
      </w:pPr>
      <w:r w:rsidRPr="008704BA">
        <w:rPr>
          <w:rFonts w:cstheme="minorHAnsi"/>
          <w:noProof/>
        </w:rPr>
        <w:drawing>
          <wp:inline distT="0" distB="0" distL="0" distR="0" wp14:anchorId="1FE63E09" wp14:editId="69CF3511">
            <wp:extent cx="5930900" cy="2552700"/>
            <wp:effectExtent l="0" t="0" r="0" b="0"/>
            <wp:docPr id="8" name="圖表 8">
              <a:extLst xmlns:a="http://schemas.openxmlformats.org/drawingml/2006/main">
                <a:ext uri="{FF2B5EF4-FFF2-40B4-BE49-F238E27FC236}">
                  <a16:creationId xmlns:a16="http://schemas.microsoft.com/office/drawing/2014/main" id="{F2C6F87F-2C22-4FD6-A8F7-96981FF3FD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153D2B7" w14:textId="34F7A1D9" w:rsidR="00243FD7" w:rsidRPr="008704BA" w:rsidRDefault="00243FD7" w:rsidP="00CF4A17">
      <w:pPr>
        <w:jc w:val="center"/>
        <w:rPr>
          <w:rFonts w:cstheme="minorHAnsi"/>
        </w:rPr>
      </w:pPr>
      <w:r w:rsidRPr="008704BA">
        <w:rPr>
          <w:rFonts w:cstheme="minorHAnsi"/>
        </w:rPr>
        <w:t>Figure</w:t>
      </w:r>
      <w:r w:rsidR="00594276" w:rsidRPr="008704BA">
        <w:rPr>
          <w:rFonts w:cstheme="minorHAnsi"/>
        </w:rPr>
        <w:t xml:space="preserve"> </w:t>
      </w:r>
      <w:r w:rsidR="008D5DB3" w:rsidRPr="008704BA">
        <w:rPr>
          <w:rFonts w:cstheme="minorHAnsi"/>
        </w:rPr>
        <w:t>5</w:t>
      </w:r>
      <w:r w:rsidRPr="008704BA">
        <w:rPr>
          <w:rFonts w:cstheme="minorHAnsi"/>
        </w:rPr>
        <w:t xml:space="preserve">: </w:t>
      </w:r>
      <w:r w:rsidR="00DC369A" w:rsidRPr="008704BA">
        <w:rPr>
          <w:rFonts w:cstheme="minorHAnsi"/>
        </w:rPr>
        <w:t xml:space="preserve">The </w:t>
      </w:r>
      <w:r w:rsidR="00DC50FF" w:rsidRPr="008704BA">
        <w:rPr>
          <w:rFonts w:cstheme="minorHAnsi"/>
        </w:rPr>
        <w:t>amount</w:t>
      </w:r>
      <w:r w:rsidR="00FA4DAC" w:rsidRPr="008704BA">
        <w:rPr>
          <w:rFonts w:cstheme="minorHAnsi"/>
        </w:rPr>
        <w:t xml:space="preserve"> of high environmental risk and non-high environmental risk credit cases</w:t>
      </w:r>
    </w:p>
    <w:p w14:paraId="1F6C4443" w14:textId="5241CEA0" w:rsidR="00F8112C" w:rsidRPr="008704BA" w:rsidRDefault="0056627D" w:rsidP="009A5C37">
      <w:pPr>
        <w:rPr>
          <w:rFonts w:cstheme="minorHAnsi"/>
        </w:rPr>
      </w:pPr>
      <w:r w:rsidRPr="008704BA">
        <w:rPr>
          <w:rFonts w:cstheme="minorHAnsi"/>
        </w:rPr>
        <w:t>Referring to the GFIT Taxonomy classification method,</w:t>
      </w:r>
      <w:r w:rsidR="00B065AF" w:rsidRPr="008704BA">
        <w:rPr>
          <w:rFonts w:cstheme="minorHAnsi"/>
        </w:rPr>
        <w:t xml:space="preserve"> as of </w:t>
      </w:r>
      <w:r w:rsidR="006F5E59" w:rsidRPr="008704BA">
        <w:rPr>
          <w:rFonts w:cstheme="minorHAnsi"/>
        </w:rPr>
        <w:t>28 February 2022</w:t>
      </w:r>
      <w:r w:rsidR="00B065AF" w:rsidRPr="008704BA">
        <w:rPr>
          <w:rFonts w:cstheme="minorHAnsi"/>
        </w:rPr>
        <w:t>,</w:t>
      </w:r>
      <w:r w:rsidRPr="008704BA">
        <w:rPr>
          <w:rFonts w:cstheme="minorHAnsi"/>
        </w:rPr>
        <w:t xml:space="preserve"> the industry of our existing high environmental risk credit cases is dominated by Industrial (70%), followed by Energy, including upstream (22%)</w:t>
      </w:r>
      <w:r w:rsidR="00FD6F7E" w:rsidRPr="008704BA">
        <w:rPr>
          <w:rFonts w:cstheme="minorHAnsi"/>
        </w:rPr>
        <w:t xml:space="preserve"> refer to Figure 6</w:t>
      </w:r>
      <w:r w:rsidRPr="008704BA">
        <w:rPr>
          <w:rFonts w:cstheme="minorHAnsi"/>
        </w:rPr>
        <w:t>. Referring to the SSIC classification method, the industries of our existing high environmental risk credit cases belong to “Manufacture of Petroleum lubricating oil dominated” (37%, $49Million), followed by “Transmission, distribution and sale of electricity” (22%, $30Million)</w:t>
      </w:r>
      <w:r w:rsidR="00FD6F7E" w:rsidRPr="008704BA">
        <w:rPr>
          <w:rFonts w:cstheme="minorHAnsi"/>
        </w:rPr>
        <w:t xml:space="preserve"> </w:t>
      </w:r>
      <w:r w:rsidR="009A5C37" w:rsidRPr="008704BA">
        <w:rPr>
          <w:rFonts w:cstheme="minorHAnsi"/>
        </w:rPr>
        <w:t>(</w:t>
      </w:r>
      <w:r w:rsidR="00FD6F7E" w:rsidRPr="008704BA">
        <w:rPr>
          <w:rFonts w:cstheme="minorHAnsi"/>
        </w:rPr>
        <w:t>refer to Figure 7</w:t>
      </w:r>
      <w:r w:rsidR="009A5C37" w:rsidRPr="008704BA">
        <w:rPr>
          <w:rFonts w:cstheme="minorHAnsi"/>
        </w:rPr>
        <w:t>)</w:t>
      </w:r>
      <w:r w:rsidRPr="008704BA">
        <w:rPr>
          <w:rFonts w:cstheme="minorHAnsi"/>
        </w:rPr>
        <w:t>.</w:t>
      </w:r>
      <w:r w:rsidRPr="008704BA">
        <w:rPr>
          <w:rFonts w:cstheme="minorHAnsi"/>
        </w:rPr>
        <w:tab/>
      </w:r>
      <w:r w:rsidRPr="008704BA">
        <w:rPr>
          <w:rFonts w:cstheme="minorHAnsi"/>
          <w:noProof/>
        </w:rPr>
        <w:drawing>
          <wp:inline distT="0" distB="0" distL="0" distR="0" wp14:anchorId="33199104" wp14:editId="71D0DC9D">
            <wp:extent cx="5250815" cy="2562131"/>
            <wp:effectExtent l="0" t="0" r="6985" b="0"/>
            <wp:docPr id="5"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319A283" w14:textId="70169D06" w:rsidR="00307692" w:rsidRPr="008704BA" w:rsidRDefault="00307692" w:rsidP="002927DF">
      <w:pPr>
        <w:jc w:val="center"/>
        <w:rPr>
          <w:rFonts w:cstheme="minorHAnsi"/>
        </w:rPr>
      </w:pPr>
      <w:r w:rsidRPr="008704BA">
        <w:rPr>
          <w:rFonts w:cstheme="minorHAnsi"/>
        </w:rPr>
        <w:t>Figure</w:t>
      </w:r>
      <w:r w:rsidR="00594276" w:rsidRPr="008704BA">
        <w:rPr>
          <w:rFonts w:cstheme="minorHAnsi"/>
        </w:rPr>
        <w:t xml:space="preserve"> </w:t>
      </w:r>
      <w:r w:rsidR="005E1A2C" w:rsidRPr="008704BA">
        <w:rPr>
          <w:rFonts w:cstheme="minorHAnsi"/>
        </w:rPr>
        <w:t>6</w:t>
      </w:r>
      <w:r w:rsidRPr="008704BA">
        <w:rPr>
          <w:rFonts w:cstheme="minorHAnsi"/>
        </w:rPr>
        <w:t xml:space="preserve">: </w:t>
      </w:r>
      <w:r w:rsidR="007D1A68" w:rsidRPr="008704BA">
        <w:rPr>
          <w:rFonts w:cstheme="minorHAnsi"/>
        </w:rPr>
        <w:t xml:space="preserve">High </w:t>
      </w:r>
      <w:r w:rsidR="00E2582E" w:rsidRPr="008704BA">
        <w:rPr>
          <w:rFonts w:cstheme="minorHAnsi"/>
        </w:rPr>
        <w:t>e</w:t>
      </w:r>
      <w:r w:rsidR="007D1A68" w:rsidRPr="008704BA">
        <w:rPr>
          <w:rFonts w:cstheme="minorHAnsi"/>
        </w:rPr>
        <w:t xml:space="preserve">nvironmental </w:t>
      </w:r>
      <w:r w:rsidR="00E2582E" w:rsidRPr="008704BA">
        <w:rPr>
          <w:rFonts w:cstheme="minorHAnsi"/>
        </w:rPr>
        <w:t>r</w:t>
      </w:r>
      <w:r w:rsidR="007D1A68" w:rsidRPr="008704BA">
        <w:rPr>
          <w:rFonts w:cstheme="minorHAnsi"/>
        </w:rPr>
        <w:t xml:space="preserve">isk </w:t>
      </w:r>
      <w:r w:rsidR="00E2582E" w:rsidRPr="008704BA">
        <w:rPr>
          <w:rFonts w:cstheme="minorHAnsi"/>
        </w:rPr>
        <w:t>c</w:t>
      </w:r>
      <w:r w:rsidR="007D1A68" w:rsidRPr="008704BA">
        <w:rPr>
          <w:rFonts w:cstheme="minorHAnsi"/>
        </w:rPr>
        <w:t xml:space="preserve">redit </w:t>
      </w:r>
      <w:r w:rsidR="00E2582E" w:rsidRPr="008704BA">
        <w:rPr>
          <w:rFonts w:cstheme="minorHAnsi"/>
        </w:rPr>
        <w:t>c</w:t>
      </w:r>
      <w:r w:rsidR="007D1A68" w:rsidRPr="008704BA">
        <w:rPr>
          <w:rFonts w:cstheme="minorHAnsi"/>
        </w:rPr>
        <w:t>ases</w:t>
      </w:r>
      <w:r w:rsidR="005B75CA" w:rsidRPr="008704BA">
        <w:rPr>
          <w:rFonts w:cstheme="minorHAnsi"/>
        </w:rPr>
        <w:t xml:space="preserve"> </w:t>
      </w:r>
      <w:r w:rsidR="00E2582E" w:rsidRPr="008704BA">
        <w:rPr>
          <w:rFonts w:cstheme="minorHAnsi"/>
        </w:rPr>
        <w:t>c</w:t>
      </w:r>
      <w:r w:rsidR="005B75CA" w:rsidRPr="008704BA">
        <w:rPr>
          <w:rFonts w:cstheme="minorHAnsi"/>
        </w:rPr>
        <w:t xml:space="preserve">lassified by SSIC </w:t>
      </w:r>
      <w:r w:rsidR="00E92D4A" w:rsidRPr="008704BA">
        <w:rPr>
          <w:rFonts w:cstheme="minorHAnsi"/>
        </w:rPr>
        <w:t>classification</w:t>
      </w:r>
    </w:p>
    <w:p w14:paraId="0C2A85EB" w14:textId="0B3A720D" w:rsidR="00FC67AF" w:rsidRPr="008704BA" w:rsidRDefault="0056627D" w:rsidP="002927DF">
      <w:pPr>
        <w:jc w:val="center"/>
        <w:rPr>
          <w:rFonts w:cstheme="minorHAnsi"/>
        </w:rPr>
      </w:pPr>
      <w:r w:rsidRPr="008704BA">
        <w:rPr>
          <w:rFonts w:cstheme="minorHAnsi"/>
          <w:noProof/>
        </w:rPr>
        <w:drawing>
          <wp:inline distT="0" distB="0" distL="0" distR="0" wp14:anchorId="5C3611EC" wp14:editId="16CB4C19">
            <wp:extent cx="5422900" cy="3956364"/>
            <wp:effectExtent l="0" t="0" r="6350" b="6350"/>
            <wp:docPr id="4" name="圖表 4">
              <a:extLst xmlns:a="http://schemas.openxmlformats.org/drawingml/2006/main">
                <a:ext uri="{FF2B5EF4-FFF2-40B4-BE49-F238E27FC236}">
                  <a16:creationId xmlns:a16="http://schemas.microsoft.com/office/drawing/2014/main" id="{CE7613D1-467D-49E4-AB9C-895E6A8CB2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DAF787C" w14:textId="1B08C5F2" w:rsidR="00243FD7" w:rsidRPr="008704BA" w:rsidRDefault="00243FD7" w:rsidP="002927DF">
      <w:pPr>
        <w:jc w:val="center"/>
        <w:rPr>
          <w:rFonts w:cstheme="minorHAnsi"/>
        </w:rPr>
      </w:pPr>
      <w:r w:rsidRPr="008704BA">
        <w:rPr>
          <w:rFonts w:cstheme="minorHAnsi"/>
        </w:rPr>
        <w:t>Figure</w:t>
      </w:r>
      <w:r w:rsidR="00594276" w:rsidRPr="008704BA">
        <w:rPr>
          <w:rFonts w:cstheme="minorHAnsi"/>
        </w:rPr>
        <w:t xml:space="preserve"> </w:t>
      </w:r>
      <w:r w:rsidR="005E1A2C" w:rsidRPr="008704BA">
        <w:rPr>
          <w:rFonts w:cstheme="minorHAnsi"/>
        </w:rPr>
        <w:t>7</w:t>
      </w:r>
      <w:r w:rsidR="00556ACD" w:rsidRPr="008704BA">
        <w:rPr>
          <w:rFonts w:cstheme="minorHAnsi"/>
        </w:rPr>
        <w:t>:</w:t>
      </w:r>
      <w:r w:rsidR="00E2582E" w:rsidRPr="008704BA">
        <w:rPr>
          <w:rFonts w:cstheme="minorHAnsi"/>
        </w:rPr>
        <w:t xml:space="preserve"> High environmental risk credit cases classified by GFIT Taxonomy classification</w:t>
      </w:r>
    </w:p>
    <w:p w14:paraId="2DC0CCF1" w14:textId="77777777" w:rsidR="00ED3B1C" w:rsidRPr="008704BA" w:rsidRDefault="00ED3B1C" w:rsidP="00ED3B1C">
      <w:pPr>
        <w:rPr>
          <w:rFonts w:cstheme="minorHAnsi"/>
          <w:b/>
          <w:bCs/>
        </w:rPr>
      </w:pPr>
    </w:p>
    <w:p w14:paraId="58830D18" w14:textId="2CF6047F" w:rsidR="00ED3B1C" w:rsidRPr="008704BA" w:rsidRDefault="00ED3B1C" w:rsidP="00132C18">
      <w:pPr>
        <w:pStyle w:val="Heading2"/>
        <w:rPr>
          <w:rFonts w:asciiTheme="minorHAnsi" w:hAnsiTheme="minorHAnsi" w:cstheme="minorHAnsi"/>
        </w:rPr>
      </w:pPr>
      <w:bookmarkStart w:id="11" w:name="_Toc106234010"/>
      <w:r w:rsidRPr="008704BA">
        <w:rPr>
          <w:rFonts w:asciiTheme="minorHAnsi" w:hAnsiTheme="minorHAnsi" w:cstheme="minorHAnsi"/>
        </w:rPr>
        <w:t xml:space="preserve">4.2 Results of </w:t>
      </w:r>
      <w:r w:rsidR="00B72E45" w:rsidRPr="008704BA">
        <w:rPr>
          <w:rFonts w:asciiTheme="minorHAnsi" w:hAnsiTheme="minorHAnsi" w:cstheme="minorHAnsi"/>
        </w:rPr>
        <w:t>C</w:t>
      </w:r>
      <w:r w:rsidRPr="008704BA">
        <w:rPr>
          <w:rFonts w:asciiTheme="minorHAnsi" w:hAnsiTheme="minorHAnsi" w:cstheme="minorHAnsi"/>
        </w:rPr>
        <w:t xml:space="preserve">limate </w:t>
      </w:r>
      <w:r w:rsidR="00B72E45" w:rsidRPr="008704BA">
        <w:rPr>
          <w:rFonts w:asciiTheme="minorHAnsi" w:hAnsiTheme="minorHAnsi" w:cstheme="minorHAnsi"/>
        </w:rPr>
        <w:t>S</w:t>
      </w:r>
      <w:r w:rsidRPr="008704BA">
        <w:rPr>
          <w:rFonts w:asciiTheme="minorHAnsi" w:hAnsiTheme="minorHAnsi" w:cstheme="minorHAnsi"/>
        </w:rPr>
        <w:t xml:space="preserve">cenario </w:t>
      </w:r>
      <w:r w:rsidR="00B72E45" w:rsidRPr="008704BA">
        <w:rPr>
          <w:rFonts w:asciiTheme="minorHAnsi" w:hAnsiTheme="minorHAnsi" w:cstheme="minorHAnsi"/>
        </w:rPr>
        <w:t>A</w:t>
      </w:r>
      <w:r w:rsidRPr="008704BA">
        <w:rPr>
          <w:rFonts w:asciiTheme="minorHAnsi" w:hAnsiTheme="minorHAnsi" w:cstheme="minorHAnsi"/>
        </w:rPr>
        <w:t xml:space="preserve">nalysis and </w:t>
      </w:r>
      <w:r w:rsidR="00B72E45" w:rsidRPr="008704BA">
        <w:rPr>
          <w:rFonts w:asciiTheme="minorHAnsi" w:hAnsiTheme="minorHAnsi" w:cstheme="minorHAnsi"/>
        </w:rPr>
        <w:t>S</w:t>
      </w:r>
      <w:r w:rsidRPr="008704BA">
        <w:rPr>
          <w:rFonts w:asciiTheme="minorHAnsi" w:hAnsiTheme="minorHAnsi" w:cstheme="minorHAnsi"/>
        </w:rPr>
        <w:t xml:space="preserve">tress </w:t>
      </w:r>
      <w:r w:rsidR="00B72E45" w:rsidRPr="008704BA">
        <w:rPr>
          <w:rFonts w:asciiTheme="minorHAnsi" w:hAnsiTheme="minorHAnsi" w:cstheme="minorHAnsi"/>
        </w:rPr>
        <w:t>T</w:t>
      </w:r>
      <w:r w:rsidRPr="008704BA">
        <w:rPr>
          <w:rFonts w:asciiTheme="minorHAnsi" w:hAnsiTheme="minorHAnsi" w:cstheme="minorHAnsi"/>
        </w:rPr>
        <w:t>esting</w:t>
      </w:r>
      <w:bookmarkEnd w:id="11"/>
    </w:p>
    <w:p w14:paraId="30899462" w14:textId="6F870EA0" w:rsidR="000D5C2F" w:rsidRPr="008704BA" w:rsidRDefault="000D5C2F" w:rsidP="000E433F">
      <w:pPr>
        <w:jc w:val="both"/>
        <w:rPr>
          <w:rFonts w:cstheme="minorHAnsi"/>
        </w:rPr>
      </w:pPr>
      <w:r w:rsidRPr="008704BA">
        <w:rPr>
          <w:rFonts w:cstheme="minorHAnsi"/>
        </w:rPr>
        <w:t xml:space="preserve">Based on the NGFS model, we </w:t>
      </w:r>
      <w:r w:rsidR="00B968B6" w:rsidRPr="008704BA">
        <w:rPr>
          <w:rFonts w:cstheme="minorHAnsi"/>
        </w:rPr>
        <w:t>es</w:t>
      </w:r>
      <w:r w:rsidR="00C67EC2" w:rsidRPr="008704BA">
        <w:rPr>
          <w:rFonts w:cstheme="minorHAnsi"/>
        </w:rPr>
        <w:t>timate</w:t>
      </w:r>
      <w:r w:rsidR="00B968B6" w:rsidRPr="008704BA">
        <w:rPr>
          <w:rFonts w:cstheme="minorHAnsi"/>
        </w:rPr>
        <w:t xml:space="preserve"> </w:t>
      </w:r>
      <w:r w:rsidRPr="008704BA">
        <w:rPr>
          <w:rFonts w:cstheme="minorHAnsi"/>
        </w:rPr>
        <w:t xml:space="preserve">the carbon fees that may be faced by credit recipients in 2025, 2050, and 2100 for credit cases with high environmental risks. Figure </w:t>
      </w:r>
      <w:r w:rsidR="003F1575" w:rsidRPr="008704BA">
        <w:rPr>
          <w:rFonts w:cstheme="minorHAnsi"/>
        </w:rPr>
        <w:t>8</w:t>
      </w:r>
      <w:r w:rsidRPr="008704BA">
        <w:rPr>
          <w:rFonts w:cstheme="minorHAnsi"/>
        </w:rPr>
        <w:t xml:space="preserve"> shows that under the Current Policies scenario, credit recipients face higher and higher carbon costs. However, under the Net Zero 2050 scenario, countries may have to adopt faster and more active policies, and the carbon cost in 2050 will be higher than that in 2100.</w:t>
      </w:r>
    </w:p>
    <w:p w14:paraId="79EBA3E2" w14:textId="0A32DB12" w:rsidR="00BF24CE" w:rsidRPr="008704BA" w:rsidRDefault="004B473A" w:rsidP="00CF6039">
      <w:pPr>
        <w:jc w:val="center"/>
        <w:rPr>
          <w:rFonts w:cstheme="minorHAnsi"/>
        </w:rPr>
      </w:pPr>
      <w:r>
        <w:rPr>
          <w:noProof/>
        </w:rPr>
        <mc:AlternateContent>
          <mc:Choice Requires="wps">
            <w:drawing>
              <wp:anchor distT="0" distB="0" distL="114300" distR="114300" simplePos="0" relativeHeight="251658250" behindDoc="0" locked="0" layoutInCell="1" allowOverlap="1" wp14:anchorId="7DAA1CDF" wp14:editId="15F4349F">
                <wp:simplePos x="0" y="0"/>
                <wp:positionH relativeFrom="rightMargin">
                  <wp:posOffset>-1236027</wp:posOffset>
                </wp:positionH>
                <wp:positionV relativeFrom="paragraph">
                  <wp:posOffset>809942</wp:posOffset>
                </wp:positionV>
                <wp:extent cx="399193" cy="87220"/>
                <wp:effectExtent l="98742" t="0" r="100013" b="4762"/>
                <wp:wrapNone/>
                <wp:docPr id="24" name="矩形 24"/>
                <wp:cNvGraphicFramePr/>
                <a:graphic xmlns:a="http://schemas.openxmlformats.org/drawingml/2006/main">
                  <a:graphicData uri="http://schemas.microsoft.com/office/word/2010/wordprocessingShape">
                    <wps:wsp>
                      <wps:cNvSpPr/>
                      <wps:spPr>
                        <a:xfrm rot="18022834">
                          <a:off x="0" y="0"/>
                          <a:ext cx="399193" cy="8722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AAA020" id="矩形 24" o:spid="_x0000_s1026" style="position:absolute;margin-left:-97.3pt;margin-top:63.75pt;width:31.45pt;height:6.85pt;rotation:-3907219fd;z-index:25166234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" fillcolor="window" stroked="f" strokeweight="1pt">
                <w10:wrap anchorx="margin"/>
              </v:rect>
            </w:pict>
          </mc:Fallback>
        </mc:AlternateContent>
      </w:r>
      <w:r>
        <w:rPr>
          <w:noProof/>
        </w:rPr>
        <mc:AlternateContent>
          <mc:Choice Requires="wps">
            <w:drawing>
              <wp:anchor distT="0" distB="0" distL="114300" distR="114300" simplePos="0" relativeHeight="251658249" behindDoc="0" locked="0" layoutInCell="1" allowOverlap="1" wp14:anchorId="6B6C80F7" wp14:editId="21F5CAB5">
                <wp:simplePos x="0" y="0"/>
                <wp:positionH relativeFrom="rightMargin">
                  <wp:posOffset>-1214437</wp:posOffset>
                </wp:positionH>
                <wp:positionV relativeFrom="paragraph">
                  <wp:posOffset>312737</wp:posOffset>
                </wp:positionV>
                <wp:extent cx="399193" cy="87220"/>
                <wp:effectExtent l="98742" t="0" r="100013" b="4762"/>
                <wp:wrapNone/>
                <wp:docPr id="23" name="矩形 23"/>
                <wp:cNvGraphicFramePr/>
                <a:graphic xmlns:a="http://schemas.openxmlformats.org/drawingml/2006/main">
                  <a:graphicData uri="http://schemas.microsoft.com/office/word/2010/wordprocessingShape">
                    <wps:wsp>
                      <wps:cNvSpPr/>
                      <wps:spPr>
                        <a:xfrm rot="18022834">
                          <a:off x="0" y="0"/>
                          <a:ext cx="399193" cy="872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11060D" id="矩形 23" o:spid="_x0000_s1026" style="position:absolute;margin-left:-95.6pt;margin-top:24.6pt;width:31.45pt;height:6.85pt;rotation:-3907219fd;z-index:25166029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" fillcolor="white [3212]" stroked="f" strokeweight="1pt">
                <w10:wrap anchorx="margin"/>
              </v:rect>
            </w:pict>
          </mc:Fallback>
        </mc:AlternateContent>
      </w:r>
      <w:r w:rsidR="001D3305">
        <w:rPr>
          <w:noProof/>
        </w:rPr>
        <w:drawing>
          <wp:anchor distT="0" distB="0" distL="114300" distR="114300" simplePos="0" relativeHeight="251658248" behindDoc="0" locked="0" layoutInCell="1" allowOverlap="1" wp14:anchorId="0FF99743" wp14:editId="624870E2">
            <wp:simplePos x="0" y="0"/>
            <wp:positionH relativeFrom="margin">
              <wp:align>right</wp:align>
            </wp:positionH>
            <wp:positionV relativeFrom="paragraph">
              <wp:posOffset>0</wp:posOffset>
            </wp:positionV>
            <wp:extent cx="5276850" cy="3333750"/>
            <wp:effectExtent l="0" t="0" r="0" b="0"/>
            <wp:wrapSquare wrapText="bothSides"/>
            <wp:docPr id="22" name="圖表 22">
              <a:extLst xmlns:a="http://schemas.openxmlformats.org/drawingml/2006/main">
                <a:ext uri="{FF2B5EF4-FFF2-40B4-BE49-F238E27FC236}">
                  <a16:creationId xmlns:a16="http://schemas.microsoft.com/office/drawing/2014/main" id="{2FF9141B-2102-4E37-926B-216BC4D3C6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sidR="00BF24CE" w:rsidRPr="008704BA">
        <w:rPr>
          <w:rFonts w:cstheme="minorHAnsi"/>
        </w:rPr>
        <w:t xml:space="preserve">Figure </w:t>
      </w:r>
      <w:r w:rsidR="00C8677A" w:rsidRPr="008704BA">
        <w:rPr>
          <w:rFonts w:cstheme="minorHAnsi"/>
        </w:rPr>
        <w:t>8</w:t>
      </w:r>
      <w:r w:rsidR="00BF24CE" w:rsidRPr="008704BA">
        <w:rPr>
          <w:rFonts w:cstheme="minorHAnsi"/>
        </w:rPr>
        <w:t>:</w:t>
      </w:r>
      <w:r w:rsidR="00C65068" w:rsidRPr="008704BA">
        <w:rPr>
          <w:rFonts w:cstheme="minorHAnsi"/>
        </w:rPr>
        <w:t xml:space="preserve"> </w:t>
      </w:r>
      <w:r w:rsidR="00290179" w:rsidRPr="008704BA">
        <w:rPr>
          <w:rFonts w:cstheme="minorHAnsi"/>
        </w:rPr>
        <w:t>Total e</w:t>
      </w:r>
      <w:r w:rsidR="00C65068" w:rsidRPr="008704BA">
        <w:rPr>
          <w:rFonts w:cstheme="minorHAnsi"/>
        </w:rPr>
        <w:t xml:space="preserve">stimated carbon fees for high environmental risk credit cases in 2025, 2050 and 2100 under the Current Policies and the Net Zero 2050 scenario </w:t>
      </w:r>
      <w:r w:rsidR="0000060F" w:rsidRPr="008704BA">
        <w:rPr>
          <w:rFonts w:cstheme="minorHAnsi"/>
        </w:rPr>
        <w:t>(</w:t>
      </w:r>
      <w:r w:rsidR="005D0169" w:rsidRPr="008704BA">
        <w:rPr>
          <w:rFonts w:cstheme="minorHAnsi"/>
        </w:rPr>
        <w:t>in millions of US dollars</w:t>
      </w:r>
      <w:r w:rsidR="0000060F" w:rsidRPr="008704BA">
        <w:rPr>
          <w:rFonts w:cstheme="minorHAnsi"/>
        </w:rPr>
        <w:t>)</w:t>
      </w:r>
    </w:p>
    <w:p w14:paraId="1F959A5F" w14:textId="77777777" w:rsidR="00E521A4" w:rsidRPr="008704BA" w:rsidRDefault="00E521A4" w:rsidP="005D0169">
      <w:pPr>
        <w:jc w:val="center"/>
        <w:rPr>
          <w:rFonts w:cstheme="minorHAnsi"/>
        </w:rPr>
      </w:pPr>
    </w:p>
    <w:p w14:paraId="28B29E99" w14:textId="42459D6E" w:rsidR="00C96787" w:rsidRPr="008704BA" w:rsidRDefault="00E521A4" w:rsidP="00E521A4">
      <w:pPr>
        <w:jc w:val="both"/>
        <w:rPr>
          <w:rFonts w:cstheme="minorHAnsi"/>
        </w:rPr>
      </w:pPr>
      <w:r w:rsidRPr="008704BA">
        <w:rPr>
          <w:rFonts w:cstheme="minorHAnsi"/>
        </w:rPr>
        <w:t xml:space="preserve">Figures </w:t>
      </w:r>
      <w:r w:rsidR="009B42A9" w:rsidRPr="008704BA">
        <w:rPr>
          <w:rFonts w:cstheme="minorHAnsi"/>
        </w:rPr>
        <w:t xml:space="preserve">9 </w:t>
      </w:r>
      <w:r w:rsidRPr="008704BA">
        <w:rPr>
          <w:rFonts w:cstheme="minorHAnsi"/>
        </w:rPr>
        <w:t xml:space="preserve">and </w:t>
      </w:r>
      <w:r w:rsidR="009B42A9" w:rsidRPr="008704BA">
        <w:rPr>
          <w:rFonts w:cstheme="minorHAnsi"/>
        </w:rPr>
        <w:t xml:space="preserve">10 </w:t>
      </w:r>
      <w:r w:rsidRPr="008704BA">
        <w:rPr>
          <w:rFonts w:cstheme="minorHAnsi"/>
        </w:rPr>
        <w:t xml:space="preserve">show the estimated carbon fees for different industries under the Current Policies and Net Zero 2050 scenarios, respectively. The results show that </w:t>
      </w:r>
      <w:r w:rsidR="0058172B" w:rsidRPr="008704BA">
        <w:rPr>
          <w:rFonts w:cstheme="minorHAnsi"/>
        </w:rPr>
        <w:t xml:space="preserve">the </w:t>
      </w:r>
      <w:r w:rsidR="00BF7CE3" w:rsidRPr="008704BA">
        <w:rPr>
          <w:rFonts w:cstheme="minorHAnsi"/>
        </w:rPr>
        <w:t>industry</w:t>
      </w:r>
      <w:r w:rsidR="0058172B" w:rsidRPr="008704BA">
        <w:rPr>
          <w:rFonts w:cstheme="minorHAnsi"/>
        </w:rPr>
        <w:t xml:space="preserve"> of </w:t>
      </w:r>
      <w:r w:rsidRPr="008704BA">
        <w:rPr>
          <w:rFonts w:cstheme="minorHAnsi"/>
        </w:rPr>
        <w:t xml:space="preserve">"Industrial" will face the highest potential estimated carbon fee expenditure among our existing credit </w:t>
      </w:r>
      <w:r w:rsidR="006F40C4" w:rsidRPr="008704BA">
        <w:rPr>
          <w:rFonts w:cstheme="minorHAnsi"/>
        </w:rPr>
        <w:t>client</w:t>
      </w:r>
      <w:r w:rsidRPr="008704BA">
        <w:rPr>
          <w:rFonts w:cstheme="minorHAnsi"/>
        </w:rPr>
        <w:t>s, followed by</w:t>
      </w:r>
      <w:r w:rsidR="000D61E2" w:rsidRPr="008704BA">
        <w:rPr>
          <w:rFonts w:cstheme="minorHAnsi"/>
        </w:rPr>
        <w:t xml:space="preserve"> </w:t>
      </w:r>
      <w:r w:rsidRPr="008704BA">
        <w:rPr>
          <w:rFonts w:cstheme="minorHAnsi"/>
        </w:rPr>
        <w:t>"Energy, including upstream".</w:t>
      </w:r>
    </w:p>
    <w:p w14:paraId="796FA2A9" w14:textId="77777777" w:rsidR="000D61E2" w:rsidRPr="008704BA" w:rsidRDefault="000D61E2" w:rsidP="00E521A4">
      <w:pPr>
        <w:jc w:val="both"/>
        <w:rPr>
          <w:rFonts w:cstheme="minorHAnsi"/>
        </w:rPr>
      </w:pPr>
    </w:p>
    <w:p w14:paraId="1EF05338" w14:textId="77777777" w:rsidR="000D61E2" w:rsidRPr="008704BA" w:rsidRDefault="000D61E2" w:rsidP="00E521A4">
      <w:pPr>
        <w:jc w:val="both"/>
        <w:rPr>
          <w:rFonts w:cstheme="minorHAnsi"/>
        </w:rPr>
      </w:pPr>
    </w:p>
    <w:p w14:paraId="7AFAA05F" w14:textId="4FE0FCB6" w:rsidR="00C96787" w:rsidRPr="008704BA" w:rsidRDefault="006E6603" w:rsidP="00C96787">
      <w:pPr>
        <w:rPr>
          <w:rFonts w:cstheme="minorHAnsi"/>
        </w:rPr>
      </w:pPr>
      <w:r w:rsidRPr="008704BA">
        <w:rPr>
          <w:rFonts w:cstheme="minorHAnsi"/>
          <w:noProof/>
        </w:rPr>
        <w:drawing>
          <wp:inline distT="0" distB="0" distL="0" distR="0" wp14:anchorId="054BB3C1" wp14:editId="284DF5EC">
            <wp:extent cx="5274310" cy="3694922"/>
            <wp:effectExtent l="0" t="0" r="2540" b="1270"/>
            <wp:docPr id="11" name="圖表 11">
              <a:extLst xmlns:a="http://schemas.openxmlformats.org/drawingml/2006/main">
                <a:ext uri="{FF2B5EF4-FFF2-40B4-BE49-F238E27FC236}">
                  <a16:creationId xmlns:a16="http://schemas.microsoft.com/office/drawing/2014/main" id="{2B0445C6-7FEA-47C9-9AB4-E54D81D543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0CE404C" w14:textId="4E7677DC" w:rsidR="00BF24CE" w:rsidRPr="008704BA" w:rsidRDefault="00BF24CE" w:rsidP="006979D9">
      <w:pPr>
        <w:jc w:val="center"/>
        <w:rPr>
          <w:rFonts w:cstheme="minorHAnsi"/>
        </w:rPr>
      </w:pPr>
      <w:r w:rsidRPr="008704BA">
        <w:rPr>
          <w:rFonts w:cstheme="minorHAnsi"/>
        </w:rPr>
        <w:t xml:space="preserve">Figure </w:t>
      </w:r>
      <w:r w:rsidR="009B42A9" w:rsidRPr="008704BA">
        <w:rPr>
          <w:rFonts w:cstheme="minorHAnsi"/>
        </w:rPr>
        <w:t>9</w:t>
      </w:r>
      <w:r w:rsidRPr="008704BA">
        <w:rPr>
          <w:rFonts w:cstheme="minorHAnsi"/>
        </w:rPr>
        <w:t xml:space="preserve">: </w:t>
      </w:r>
      <w:r w:rsidR="005D0169" w:rsidRPr="008704BA">
        <w:rPr>
          <w:rFonts w:cstheme="minorHAnsi"/>
        </w:rPr>
        <w:t>Total estimated carbon cost for high environmental risk credit cases under the Current Policies scenario (in millions of US dollars)</w:t>
      </w:r>
    </w:p>
    <w:p w14:paraId="147D6D81" w14:textId="5EFC68E0" w:rsidR="006E6603" w:rsidRPr="008704BA" w:rsidRDefault="00884460" w:rsidP="00C96787">
      <w:pPr>
        <w:rPr>
          <w:rFonts w:cstheme="minorHAnsi"/>
        </w:rPr>
      </w:pPr>
      <w:r w:rsidRPr="008704BA">
        <w:rPr>
          <w:rFonts w:cstheme="minorHAnsi"/>
          <w:noProof/>
        </w:rPr>
        <w:drawing>
          <wp:inline distT="0" distB="0" distL="0" distR="0" wp14:anchorId="14504CC4" wp14:editId="0576A758">
            <wp:extent cx="5504180" cy="3825551"/>
            <wp:effectExtent l="0" t="0" r="1270" b="3810"/>
            <wp:docPr id="13" name="圖表 13">
              <a:extLst xmlns:a="http://schemas.openxmlformats.org/drawingml/2006/main">
                <a:ext uri="{FF2B5EF4-FFF2-40B4-BE49-F238E27FC236}">
                  <a16:creationId xmlns:a16="http://schemas.microsoft.com/office/drawing/2014/main" id="{3D5968C7-0071-4C88-A99F-73C2CC80F3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556C5DD" w14:textId="0E8440DA" w:rsidR="00BF24CE" w:rsidRPr="008704BA" w:rsidRDefault="00BF24CE" w:rsidP="00BF24CE">
      <w:pPr>
        <w:jc w:val="center"/>
        <w:rPr>
          <w:rFonts w:cstheme="minorHAnsi"/>
        </w:rPr>
      </w:pPr>
      <w:r w:rsidRPr="008704BA">
        <w:rPr>
          <w:rFonts w:cstheme="minorHAnsi"/>
        </w:rPr>
        <w:t xml:space="preserve">Figure </w:t>
      </w:r>
      <w:r w:rsidR="009B42A9" w:rsidRPr="008704BA">
        <w:rPr>
          <w:rFonts w:cstheme="minorHAnsi"/>
        </w:rPr>
        <w:t>10</w:t>
      </w:r>
      <w:r w:rsidRPr="008704BA">
        <w:rPr>
          <w:rFonts w:cstheme="minorHAnsi"/>
        </w:rPr>
        <w:t xml:space="preserve">: </w:t>
      </w:r>
      <w:r w:rsidR="005D0169" w:rsidRPr="008704BA">
        <w:rPr>
          <w:rFonts w:cstheme="minorHAnsi"/>
        </w:rPr>
        <w:t>Total estimated carbon cost for high environmental risk credit cases under the Net Zero 2050 scenario (in millions of US dollars)</w:t>
      </w:r>
    </w:p>
    <w:p w14:paraId="3DB007AB" w14:textId="72F21EB3" w:rsidR="00E521A4" w:rsidRPr="00DB1B3E" w:rsidRDefault="0013050C" w:rsidP="000F1E6A">
      <w:pPr>
        <w:jc w:val="both"/>
        <w:rPr>
          <w:rFonts w:ascii="Calibri" w:hAnsi="Calibri" w:cs="Calibri"/>
          <w:szCs w:val="24"/>
        </w:rPr>
      </w:pPr>
      <w:r w:rsidRPr="0093660E">
        <w:rPr>
          <w:rFonts w:ascii="Calibri" w:hAnsi="Calibri" w:cs="Calibri"/>
          <w:szCs w:val="24"/>
        </w:rPr>
        <w:t xml:space="preserve">The results of our </w:t>
      </w:r>
      <w:r w:rsidR="00D36D94" w:rsidRPr="0093660E">
        <w:rPr>
          <w:rFonts w:ascii="Calibri" w:hAnsi="Calibri" w:cs="Calibri"/>
          <w:szCs w:val="24"/>
        </w:rPr>
        <w:t>stress testing</w:t>
      </w:r>
      <w:r w:rsidRPr="0093660E">
        <w:rPr>
          <w:rFonts w:ascii="Calibri" w:hAnsi="Calibri" w:cs="Calibri"/>
          <w:szCs w:val="24"/>
        </w:rPr>
        <w:t xml:space="preserve"> show that in 2025, the expected credit loss rate (ECL) of existing high environmental risk credit </w:t>
      </w:r>
      <w:r w:rsidR="001322AB" w:rsidRPr="0093660E">
        <w:rPr>
          <w:rFonts w:ascii="Calibri" w:hAnsi="Calibri" w:cs="Calibri"/>
          <w:szCs w:val="24"/>
        </w:rPr>
        <w:t>client</w:t>
      </w:r>
      <w:r w:rsidRPr="0093660E">
        <w:rPr>
          <w:rFonts w:ascii="Calibri" w:hAnsi="Calibri" w:cs="Calibri"/>
          <w:szCs w:val="24"/>
        </w:rPr>
        <w:t>s under the Current Policies scenario</w:t>
      </w:r>
      <w:r w:rsidR="0093660E" w:rsidRPr="0093660E">
        <w:rPr>
          <w:rFonts w:ascii="Calibri" w:hAnsi="Calibri" w:cs="Calibri"/>
          <w:szCs w:val="24"/>
        </w:rPr>
        <w:t xml:space="preserve"> and the Net Zero 2050 scenario</w:t>
      </w:r>
      <w:r w:rsidRPr="0093660E">
        <w:rPr>
          <w:rFonts w:ascii="Calibri" w:hAnsi="Calibri" w:cs="Calibri"/>
          <w:szCs w:val="24"/>
        </w:rPr>
        <w:t xml:space="preserve"> is </w:t>
      </w:r>
      <w:r w:rsidR="0093660E" w:rsidRPr="0093660E">
        <w:rPr>
          <w:rFonts w:ascii="Calibri" w:hAnsi="Calibri" w:cs="Calibri"/>
          <w:color w:val="242424"/>
          <w:szCs w:val="24"/>
          <w:shd w:val="clear" w:color="auto" w:fill="FFFFFF"/>
        </w:rPr>
        <w:t>approximately 2%</w:t>
      </w:r>
      <w:r w:rsidRPr="00DB1B3E">
        <w:rPr>
          <w:rFonts w:ascii="Calibri" w:hAnsi="Calibri" w:cs="Calibri"/>
          <w:szCs w:val="24"/>
        </w:rPr>
        <w:t>.</w:t>
      </w:r>
      <w:r w:rsidR="00AD4EBB" w:rsidRPr="00DB1B3E">
        <w:rPr>
          <w:rFonts w:ascii="Calibri" w:hAnsi="Calibri" w:cs="Calibri"/>
          <w:szCs w:val="24"/>
        </w:rPr>
        <w:t xml:space="preserve"> </w:t>
      </w:r>
      <w:r w:rsidR="000F1E6A" w:rsidRPr="00DB1B3E">
        <w:rPr>
          <w:rFonts w:ascii="Calibri" w:hAnsi="Calibri" w:cs="Calibri"/>
          <w:szCs w:val="24"/>
        </w:rPr>
        <w:t>We assess th</w:t>
      </w:r>
      <w:r w:rsidR="00820726" w:rsidRPr="00DB1B3E">
        <w:rPr>
          <w:rFonts w:ascii="Calibri" w:hAnsi="Calibri" w:cs="Calibri"/>
          <w:szCs w:val="24"/>
        </w:rPr>
        <w:t xml:space="preserve">e new </w:t>
      </w:r>
      <w:r w:rsidR="000F1E6A" w:rsidRPr="00DB1B3E">
        <w:rPr>
          <w:rFonts w:ascii="Calibri" w:hAnsi="Calibri" w:cs="Calibri"/>
          <w:szCs w:val="24"/>
        </w:rPr>
        <w:t xml:space="preserve">ECL </w:t>
      </w:r>
      <w:r w:rsidR="00820726" w:rsidRPr="00DB1B3E">
        <w:rPr>
          <w:rFonts w:ascii="Calibri" w:hAnsi="Calibri" w:cs="Calibri"/>
          <w:szCs w:val="24"/>
        </w:rPr>
        <w:t xml:space="preserve">under the </w:t>
      </w:r>
      <w:r w:rsidR="00E343CC" w:rsidRPr="00DB1B3E">
        <w:rPr>
          <w:rFonts w:ascii="Calibri" w:hAnsi="Calibri" w:cs="Calibri"/>
          <w:szCs w:val="24"/>
        </w:rPr>
        <w:t>two scenario</w:t>
      </w:r>
      <w:r w:rsidR="005749E2" w:rsidRPr="00DB1B3E">
        <w:rPr>
          <w:rFonts w:ascii="Calibri" w:hAnsi="Calibri" w:cs="Calibri"/>
          <w:szCs w:val="24"/>
        </w:rPr>
        <w:t>s</w:t>
      </w:r>
      <w:r w:rsidR="00820726" w:rsidRPr="00DB1B3E">
        <w:rPr>
          <w:rFonts w:ascii="Calibri" w:hAnsi="Calibri" w:cs="Calibri"/>
          <w:szCs w:val="24"/>
        </w:rPr>
        <w:t xml:space="preserve"> </w:t>
      </w:r>
      <w:r w:rsidR="009A5C37" w:rsidRPr="00DB1B3E">
        <w:rPr>
          <w:rFonts w:ascii="Calibri" w:hAnsi="Calibri" w:cs="Calibri"/>
          <w:szCs w:val="24"/>
        </w:rPr>
        <w:t xml:space="preserve">to be </w:t>
      </w:r>
      <w:r w:rsidR="000F1E6A" w:rsidRPr="00DB1B3E">
        <w:rPr>
          <w:rFonts w:ascii="Calibri" w:hAnsi="Calibri" w:cs="Calibri"/>
          <w:szCs w:val="24"/>
        </w:rPr>
        <w:t>within the acceptable range of the bank and will</w:t>
      </w:r>
      <w:r w:rsidR="00915FB5" w:rsidRPr="00DB1B3E">
        <w:rPr>
          <w:rFonts w:ascii="Calibri" w:hAnsi="Calibri" w:cs="Calibri"/>
          <w:szCs w:val="24"/>
        </w:rPr>
        <w:t xml:space="preserve"> continue to pay attention to the financial impact of carbon price changes in high environmental risk cases</w:t>
      </w:r>
      <w:r w:rsidR="000F1E6A" w:rsidRPr="00DB1B3E">
        <w:rPr>
          <w:rFonts w:ascii="Calibri" w:hAnsi="Calibri" w:cs="Calibri"/>
          <w:szCs w:val="24"/>
        </w:rPr>
        <w:t>.</w:t>
      </w:r>
    </w:p>
    <w:p w14:paraId="43BF92B2" w14:textId="2711AC46" w:rsidR="00FC67AF" w:rsidRPr="008704BA" w:rsidRDefault="00C3478B" w:rsidP="00F43A94">
      <w:pPr>
        <w:pStyle w:val="Heading1"/>
        <w:rPr>
          <w:rFonts w:asciiTheme="minorHAnsi" w:hAnsiTheme="minorHAnsi" w:cstheme="minorHAnsi"/>
        </w:rPr>
      </w:pPr>
      <w:bookmarkStart w:id="12" w:name="_Toc106234011"/>
      <w:r w:rsidRPr="008704BA">
        <w:rPr>
          <w:rFonts w:asciiTheme="minorHAnsi" w:hAnsiTheme="minorHAnsi" w:cstheme="minorHAnsi"/>
        </w:rPr>
        <w:t>Section 5 Looking Forward</w:t>
      </w:r>
      <w:bookmarkEnd w:id="12"/>
    </w:p>
    <w:p w14:paraId="5A7C254C" w14:textId="32C493CB" w:rsidR="002550D4" w:rsidRPr="008704BA" w:rsidRDefault="008C6C25" w:rsidP="002550D4">
      <w:pPr>
        <w:jc w:val="both"/>
        <w:rPr>
          <w:rFonts w:cstheme="minorHAnsi"/>
        </w:rPr>
      </w:pPr>
      <w:r w:rsidRPr="008704BA">
        <w:rPr>
          <w:rFonts w:cstheme="minorHAnsi"/>
        </w:rPr>
        <w:t xml:space="preserve">LBOTS is committed to supporting the transition to a </w:t>
      </w:r>
      <w:r w:rsidR="00721D44" w:rsidRPr="008704BA">
        <w:rPr>
          <w:rFonts w:cstheme="minorHAnsi"/>
        </w:rPr>
        <w:t>low-carbon</w:t>
      </w:r>
      <w:r w:rsidRPr="008704BA">
        <w:rPr>
          <w:rFonts w:cstheme="minorHAnsi"/>
        </w:rPr>
        <w:t xml:space="preserve"> economy and recognizes that </w:t>
      </w:r>
      <w:r w:rsidR="00721D44" w:rsidRPr="008704BA">
        <w:rPr>
          <w:rFonts w:cstheme="minorHAnsi"/>
        </w:rPr>
        <w:t>high-quality</w:t>
      </w:r>
      <w:r w:rsidRPr="008704BA">
        <w:rPr>
          <w:rFonts w:cstheme="minorHAnsi"/>
        </w:rPr>
        <w:t xml:space="preserve"> disclosure is a key component of this effort.</w:t>
      </w:r>
      <w:r w:rsidR="00E41E7B" w:rsidRPr="008704BA">
        <w:rPr>
          <w:rFonts w:cstheme="minorHAnsi"/>
        </w:rPr>
        <w:t xml:space="preserve"> </w:t>
      </w:r>
      <w:r w:rsidR="002550D4" w:rsidRPr="008704BA">
        <w:rPr>
          <w:rFonts w:cstheme="minorHAnsi"/>
        </w:rPr>
        <w:t xml:space="preserve">The </w:t>
      </w:r>
      <w:r w:rsidR="00837C17" w:rsidRPr="008704BA">
        <w:rPr>
          <w:rFonts w:cstheme="minorHAnsi"/>
        </w:rPr>
        <w:t>environmental risk disclosure</w:t>
      </w:r>
      <w:r w:rsidR="002550D4" w:rsidRPr="008704BA">
        <w:rPr>
          <w:rFonts w:cstheme="minorHAnsi"/>
        </w:rPr>
        <w:t xml:space="preserve"> report will continue to inform LBOTS'</w:t>
      </w:r>
      <w:r w:rsidR="00313847" w:rsidRPr="008704BA">
        <w:rPr>
          <w:rFonts w:cstheme="minorHAnsi"/>
        </w:rPr>
        <w:t>s</w:t>
      </w:r>
      <w:r w:rsidR="002550D4" w:rsidRPr="008704BA">
        <w:rPr>
          <w:rFonts w:cstheme="minorHAnsi"/>
        </w:rPr>
        <w:t xml:space="preserve"> strategic priorities of putting </w:t>
      </w:r>
      <w:r w:rsidR="006F40C4" w:rsidRPr="008704BA">
        <w:rPr>
          <w:rFonts w:cstheme="minorHAnsi"/>
        </w:rPr>
        <w:t>client</w:t>
      </w:r>
      <w:r w:rsidR="002550D4" w:rsidRPr="008704BA">
        <w:rPr>
          <w:rFonts w:cstheme="minorHAnsi"/>
        </w:rPr>
        <w:t xml:space="preserve">s first, building a sustainable future, </w:t>
      </w:r>
      <w:proofErr w:type="gramStart"/>
      <w:r w:rsidR="002550D4" w:rsidRPr="008704BA">
        <w:rPr>
          <w:rFonts w:cstheme="minorHAnsi"/>
        </w:rPr>
        <w:t>acting</w:t>
      </w:r>
      <w:proofErr w:type="gramEnd"/>
      <w:r w:rsidR="002550D4" w:rsidRPr="008704BA">
        <w:rPr>
          <w:rFonts w:cstheme="minorHAnsi"/>
        </w:rPr>
        <w:t xml:space="preserve"> with integrity, valuing employees and engaging with communities.</w:t>
      </w:r>
    </w:p>
    <w:p w14:paraId="7F82491D" w14:textId="77777777" w:rsidR="00464A8F" w:rsidRPr="008704BA" w:rsidRDefault="00464A8F" w:rsidP="002550D4">
      <w:pPr>
        <w:jc w:val="both"/>
        <w:rPr>
          <w:rFonts w:cstheme="minorHAnsi"/>
        </w:rPr>
      </w:pPr>
    </w:p>
    <w:p w14:paraId="6AC44690" w14:textId="5BCEC300" w:rsidR="009C3112" w:rsidRPr="008704BA" w:rsidRDefault="003718F7" w:rsidP="00E41E7B">
      <w:pPr>
        <w:jc w:val="both"/>
        <w:rPr>
          <w:rFonts w:cstheme="minorHAnsi"/>
        </w:rPr>
      </w:pPr>
      <w:r w:rsidRPr="008704BA">
        <w:rPr>
          <w:rFonts w:cstheme="minorHAnsi"/>
        </w:rPr>
        <w:t>We</w:t>
      </w:r>
      <w:r w:rsidR="009C3112" w:rsidRPr="008704BA">
        <w:rPr>
          <w:rFonts w:cstheme="minorHAnsi"/>
        </w:rPr>
        <w:t xml:space="preserve"> will continue to oversee LBOTS' sustainability management and monitoring at the strategy and decision-making level. This includes assessing environmental risks in the LBOTS loan portfolio and</w:t>
      </w:r>
      <w:r w:rsidR="00445479" w:rsidRPr="008704BA">
        <w:rPr>
          <w:rFonts w:cstheme="minorHAnsi"/>
        </w:rPr>
        <w:t xml:space="preserve"> referencing</w:t>
      </w:r>
      <w:r w:rsidR="009C3112" w:rsidRPr="008704BA">
        <w:rPr>
          <w:rFonts w:cstheme="minorHAnsi"/>
        </w:rPr>
        <w:t xml:space="preserve"> the recommendations made by the </w:t>
      </w:r>
      <w:r w:rsidR="000A762A" w:rsidRPr="008704BA">
        <w:rPr>
          <w:rFonts w:cstheme="minorHAnsi"/>
        </w:rPr>
        <w:t>ENRM Guidelines</w:t>
      </w:r>
      <w:r w:rsidR="009C3112" w:rsidRPr="008704BA">
        <w:rPr>
          <w:rFonts w:cstheme="minorHAnsi"/>
        </w:rPr>
        <w:t>.</w:t>
      </w:r>
    </w:p>
    <w:p w14:paraId="44BF8F8D" w14:textId="77777777" w:rsidR="00464A8F" w:rsidRPr="008704BA" w:rsidRDefault="00464A8F" w:rsidP="00E41E7B">
      <w:pPr>
        <w:jc w:val="both"/>
        <w:rPr>
          <w:rFonts w:cstheme="minorHAnsi"/>
        </w:rPr>
      </w:pPr>
    </w:p>
    <w:p w14:paraId="25DC1E22" w14:textId="5BE38875" w:rsidR="00E41E7B" w:rsidRPr="008704BA" w:rsidRDefault="001F3875" w:rsidP="00E41E7B">
      <w:pPr>
        <w:jc w:val="both"/>
        <w:rPr>
          <w:rFonts w:cstheme="minorHAnsi"/>
        </w:rPr>
      </w:pPr>
      <w:r w:rsidRPr="008704BA">
        <w:rPr>
          <w:rFonts w:cstheme="minorHAnsi"/>
        </w:rPr>
        <w:t>LBOTS has taken several steps towards the goals we set but is also aware of the challenges that remain.</w:t>
      </w:r>
      <w:r w:rsidR="00E41E7B" w:rsidRPr="008704BA">
        <w:rPr>
          <w:rFonts w:cstheme="minorHAnsi"/>
        </w:rPr>
        <w:t xml:space="preserve"> </w:t>
      </w:r>
      <w:r w:rsidR="00132CB3" w:rsidRPr="008704BA">
        <w:rPr>
          <w:rFonts w:cstheme="minorHAnsi"/>
        </w:rPr>
        <w:t>Look</w:t>
      </w:r>
      <w:r w:rsidR="00C566CA" w:rsidRPr="008704BA">
        <w:rPr>
          <w:rFonts w:cstheme="minorHAnsi"/>
        </w:rPr>
        <w:t>ing forward, we are committed to driving performance across our key ESG factors, achieving our goals and evolving our practices as needed. We recognize that tackling climate change requires collective action and are committed to partnering and collaborating with others to drive systemic change.</w:t>
      </w:r>
    </w:p>
    <w:p w14:paraId="16EEECA8" w14:textId="77777777" w:rsidR="00464A8F" w:rsidRPr="008704BA" w:rsidRDefault="00464A8F" w:rsidP="00E41E7B">
      <w:pPr>
        <w:jc w:val="both"/>
        <w:rPr>
          <w:rFonts w:cstheme="minorHAnsi"/>
        </w:rPr>
      </w:pPr>
    </w:p>
    <w:p w14:paraId="45CA127D" w14:textId="72F7BC1B" w:rsidR="00F438D8" w:rsidRDefault="004F3F30">
      <w:pPr>
        <w:jc w:val="both"/>
        <w:rPr>
          <w:rFonts w:cstheme="minorHAnsi"/>
        </w:rPr>
      </w:pPr>
      <w:r w:rsidRPr="008704BA">
        <w:rPr>
          <w:rFonts w:cstheme="minorHAnsi"/>
        </w:rPr>
        <w:t>The success of LBOTS is not only intertwined with the success of all our stakeholders -</w:t>
      </w:r>
      <w:r w:rsidR="002927DF" w:rsidRPr="008704BA">
        <w:rPr>
          <w:rFonts w:cstheme="minorHAnsi"/>
        </w:rPr>
        <w:t xml:space="preserve"> but</w:t>
      </w:r>
      <w:r w:rsidRPr="008704BA">
        <w:rPr>
          <w:rFonts w:cstheme="minorHAnsi"/>
        </w:rPr>
        <w:t xml:space="preserve"> it is also inextricably linked to the health of the planet.</w:t>
      </w:r>
      <w:r w:rsidR="00E41E7B" w:rsidRPr="008704BA">
        <w:rPr>
          <w:rFonts w:cstheme="minorHAnsi"/>
        </w:rPr>
        <w:t xml:space="preserve"> </w:t>
      </w:r>
      <w:r w:rsidR="00132CB3" w:rsidRPr="008704BA">
        <w:rPr>
          <w:rFonts w:cstheme="minorHAnsi"/>
        </w:rPr>
        <w:t>We are committed to prioritizing climate change to ensure LBOTS remain relevant, b</w:t>
      </w:r>
      <w:r w:rsidR="002927DF" w:rsidRPr="008704BA">
        <w:rPr>
          <w:rFonts w:cstheme="minorHAnsi"/>
        </w:rPr>
        <w:t>uild</w:t>
      </w:r>
      <w:r w:rsidR="00132CB3" w:rsidRPr="008704BA">
        <w:rPr>
          <w:rFonts w:cstheme="minorHAnsi"/>
        </w:rPr>
        <w:t xml:space="preserve"> resilience and </w:t>
      </w:r>
      <w:r w:rsidR="002927DF" w:rsidRPr="008704BA">
        <w:rPr>
          <w:rFonts w:cstheme="minorHAnsi"/>
        </w:rPr>
        <w:t>c</w:t>
      </w:r>
      <w:r w:rsidR="00721D44" w:rsidRPr="008704BA">
        <w:rPr>
          <w:rFonts w:cstheme="minorHAnsi"/>
        </w:rPr>
        <w:t>reate</w:t>
      </w:r>
      <w:r w:rsidR="00132CB3" w:rsidRPr="008704BA">
        <w:rPr>
          <w:rFonts w:cstheme="minorHAnsi"/>
        </w:rPr>
        <w:t xml:space="preserve"> sustainable long-term value.</w:t>
      </w:r>
    </w:p>
    <w:p w14:paraId="24F85E88" w14:textId="77777777" w:rsidR="00F438D8" w:rsidRDefault="00F438D8">
      <w:pPr>
        <w:widowControl/>
        <w:rPr>
          <w:rFonts w:cstheme="minorHAnsi"/>
        </w:rPr>
      </w:pPr>
      <w:r>
        <w:rPr>
          <w:rFonts w:cstheme="minorHAnsi"/>
        </w:rPr>
        <w:br w:type="page"/>
      </w:r>
    </w:p>
    <w:p w14:paraId="08886F66" w14:textId="448BA680" w:rsidR="001322AB" w:rsidRPr="008704BA" w:rsidRDefault="00AB5672">
      <w:pPr>
        <w:jc w:val="both"/>
        <w:rPr>
          <w:rFonts w:cstheme="minorHAnsi"/>
        </w:rPr>
      </w:pPr>
      <w:r w:rsidRPr="008704BA">
        <w:rPr>
          <w:rFonts w:cstheme="minorHAnsi"/>
          <w:noProof/>
        </w:rPr>
        <w:drawing>
          <wp:anchor distT="0" distB="0" distL="114300" distR="114300" simplePos="0" relativeHeight="251658244" behindDoc="1" locked="0" layoutInCell="1" allowOverlap="1" wp14:anchorId="6591DDA3" wp14:editId="643C7F56">
            <wp:simplePos x="0" y="0"/>
            <wp:positionH relativeFrom="page">
              <wp:posOffset>-345440</wp:posOffset>
            </wp:positionH>
            <wp:positionV relativeFrom="page">
              <wp:posOffset>4749</wp:posOffset>
            </wp:positionV>
            <wp:extent cx="7902196" cy="10678602"/>
            <wp:effectExtent l="0" t="0" r="3810" b="889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alphaModFix amt="40000"/>
                      <a:extLst>
                        <a:ext uri="{28A0092B-C50C-407E-A947-70E740481C1C}">
                          <a14:useLocalDpi xmlns:a14="http://schemas.microsoft.com/office/drawing/2010/main" val="0"/>
                        </a:ext>
                      </a:extLst>
                    </a:blip>
                    <a:srcRect/>
                    <a:stretch>
                      <a:fillRect/>
                    </a:stretch>
                  </pic:blipFill>
                  <pic:spPr bwMode="auto">
                    <a:xfrm>
                      <a:off x="0" y="0"/>
                      <a:ext cx="7902196" cy="10678602"/>
                    </a:xfrm>
                    <a:prstGeom prst="rect">
                      <a:avLst/>
                    </a:prstGeom>
                    <a:noFill/>
                  </pic:spPr>
                </pic:pic>
              </a:graphicData>
            </a:graphic>
            <wp14:sizeRelH relativeFrom="margin">
              <wp14:pctWidth>0</wp14:pctWidth>
            </wp14:sizeRelH>
            <wp14:sizeRelV relativeFrom="margin">
              <wp14:pctHeight>0</wp14:pctHeight>
            </wp14:sizeRelV>
          </wp:anchor>
        </w:drawing>
      </w:r>
    </w:p>
    <w:p w14:paraId="5A38E0E7" w14:textId="10CA8637" w:rsidR="001322AB" w:rsidRPr="008704BA" w:rsidRDefault="001322AB">
      <w:pPr>
        <w:jc w:val="both"/>
        <w:rPr>
          <w:rFonts w:cstheme="minorHAnsi"/>
        </w:rPr>
      </w:pPr>
      <w:r w:rsidRPr="008704BA">
        <w:rPr>
          <w:rFonts w:cstheme="minorHAnsi"/>
          <w:b/>
          <w:bCs/>
          <w:noProof/>
          <w:color w:val="4472C4" w:themeColor="accent1"/>
          <w:kern w:val="0"/>
          <w:sz w:val="22"/>
        </w:rPr>
        <w:drawing>
          <wp:anchor distT="0" distB="0" distL="114300" distR="114300" simplePos="0" relativeHeight="251658247" behindDoc="1" locked="0" layoutInCell="1" allowOverlap="1" wp14:anchorId="0E25A031" wp14:editId="4386D0F2">
            <wp:simplePos x="0" y="0"/>
            <wp:positionH relativeFrom="margin">
              <wp:posOffset>-400929</wp:posOffset>
            </wp:positionH>
            <wp:positionV relativeFrom="paragraph">
              <wp:posOffset>7452946</wp:posOffset>
            </wp:positionV>
            <wp:extent cx="2932990" cy="855456"/>
            <wp:effectExtent l="0" t="0" r="1270" b="0"/>
            <wp:wrapNone/>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2990" cy="855456"/>
                    </a:xfrm>
                    <a:prstGeom prst="rect">
                      <a:avLst/>
                    </a:prstGeom>
                    <a:noFill/>
                  </pic:spPr>
                </pic:pic>
              </a:graphicData>
            </a:graphic>
            <wp14:sizeRelH relativeFrom="margin">
              <wp14:pctWidth>0</wp14:pctWidth>
            </wp14:sizeRelH>
            <wp14:sizeRelV relativeFrom="margin">
              <wp14:pctHeight>0</wp14:pctHeight>
            </wp14:sizeRelV>
          </wp:anchor>
        </w:drawing>
      </w:r>
    </w:p>
    <w:sectPr w:rsidR="001322AB" w:rsidRPr="008704BA" w:rsidSect="00EB58CA">
      <w:footerReference w:type="default" r:id="rId31"/>
      <w:pgSz w:w="11906" w:h="16838"/>
      <w:pgMar w:top="1440" w:right="1800" w:bottom="1440" w:left="180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9E48C" w14:textId="77777777" w:rsidR="00B850E9" w:rsidRDefault="00B850E9" w:rsidP="00451297">
      <w:r>
        <w:separator/>
      </w:r>
    </w:p>
  </w:endnote>
  <w:endnote w:type="continuationSeparator" w:id="0">
    <w:p w14:paraId="223C336D" w14:textId="77777777" w:rsidR="00B850E9" w:rsidRDefault="00B850E9" w:rsidP="00451297">
      <w:r>
        <w:continuationSeparator/>
      </w:r>
    </w:p>
  </w:endnote>
  <w:endnote w:type="continuationNotice" w:id="1">
    <w:p w14:paraId="272A148E" w14:textId="77777777" w:rsidR="00B850E9" w:rsidRDefault="00B85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262886"/>
      <w:docPartObj>
        <w:docPartGallery w:val="Page Numbers (Bottom of Page)"/>
        <w:docPartUnique/>
      </w:docPartObj>
    </w:sdtPr>
    <w:sdtEndPr/>
    <w:sdtContent>
      <w:p w14:paraId="126ADE1C" w14:textId="54C0C0F8" w:rsidR="00831503" w:rsidRDefault="00831503">
        <w:pPr>
          <w:pStyle w:val="Footer"/>
          <w:jc w:val="center"/>
        </w:pPr>
        <w:r>
          <w:fldChar w:fldCharType="begin"/>
        </w:r>
        <w:r>
          <w:instrText>PAGE   \* MERGEFORMAT</w:instrText>
        </w:r>
        <w:r>
          <w:fldChar w:fldCharType="separate"/>
        </w:r>
        <w:r w:rsidR="00C96182" w:rsidRPr="00C96182">
          <w:rPr>
            <w:noProof/>
            <w:lang w:val="zh-TW"/>
          </w:rPr>
          <w:t>6</w:t>
        </w:r>
        <w:r>
          <w:fldChar w:fldCharType="end"/>
        </w:r>
      </w:p>
    </w:sdtContent>
  </w:sdt>
  <w:p w14:paraId="0F25CC66" w14:textId="77777777" w:rsidR="00831503" w:rsidRDefault="00831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19F88" w14:textId="77777777" w:rsidR="00B850E9" w:rsidRDefault="00B850E9" w:rsidP="00451297">
      <w:r>
        <w:separator/>
      </w:r>
    </w:p>
  </w:footnote>
  <w:footnote w:type="continuationSeparator" w:id="0">
    <w:p w14:paraId="1DC9B421" w14:textId="77777777" w:rsidR="00B850E9" w:rsidRDefault="00B850E9" w:rsidP="00451297">
      <w:r>
        <w:continuationSeparator/>
      </w:r>
    </w:p>
  </w:footnote>
  <w:footnote w:type="continuationNotice" w:id="1">
    <w:p w14:paraId="285EEADF" w14:textId="77777777" w:rsidR="00B850E9" w:rsidRDefault="00B850E9"/>
  </w:footnote>
  <w:footnote w:id="2">
    <w:p w14:paraId="255EFE91" w14:textId="77777777" w:rsidR="00A02D30" w:rsidRDefault="00A02D30" w:rsidP="00A02D30">
      <w:pPr>
        <w:pStyle w:val="FootnoteText"/>
      </w:pPr>
      <w:r>
        <w:rPr>
          <w:rStyle w:val="FootnoteReference"/>
        </w:rPr>
        <w:footnoteRef/>
      </w:r>
      <w:r>
        <w:t xml:space="preserve"> </w:t>
      </w:r>
      <w:r w:rsidRPr="009645BD">
        <w:t>"Information and Communications Technology," and "Waste/Circular Economy" are not high-risk industries, but MAS assesses that they play an important role in climate change mitigation or adaptation, and are still included in the high-risk industries of GFIT Taxonomy.</w:t>
      </w:r>
    </w:p>
  </w:footnote>
  <w:footnote w:id="3">
    <w:p w14:paraId="34656E18" w14:textId="4AD39A40" w:rsidR="00E57B58" w:rsidRDefault="00E57B58" w:rsidP="00E57B58">
      <w:pPr>
        <w:pStyle w:val="FootnoteText"/>
      </w:pPr>
      <w:r>
        <w:rPr>
          <w:rStyle w:val="FootnoteReference"/>
        </w:rPr>
        <w:footnoteRef/>
      </w:r>
      <w:r>
        <w:t xml:space="preserve"> Source: NGFS Climate Scenarios</w:t>
      </w:r>
      <w:r>
        <w:rPr>
          <w:rFonts w:hint="eastAsia"/>
        </w:rPr>
        <w:t xml:space="preserve"> </w:t>
      </w:r>
      <w:r>
        <w:t>for central banks and supervisors (June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18B4"/>
    <w:multiLevelType w:val="hybridMultilevel"/>
    <w:tmpl w:val="C018D550"/>
    <w:lvl w:ilvl="0" w:tplc="07BE4BEE">
      <w:start w:val="1"/>
      <w:numFmt w:val="bullet"/>
      <w:lvlText w:val="•"/>
      <w:lvlJc w:val="left"/>
      <w:pPr>
        <w:tabs>
          <w:tab w:val="num" w:pos="720"/>
        </w:tabs>
        <w:ind w:left="720" w:hanging="360"/>
      </w:pPr>
      <w:rPr>
        <w:rFonts w:ascii="新細明體" w:hAnsi="新細明體" w:hint="default"/>
      </w:rPr>
    </w:lvl>
    <w:lvl w:ilvl="1" w:tplc="5FD0447E" w:tentative="1">
      <w:start w:val="1"/>
      <w:numFmt w:val="bullet"/>
      <w:lvlText w:val="•"/>
      <w:lvlJc w:val="left"/>
      <w:pPr>
        <w:tabs>
          <w:tab w:val="num" w:pos="1440"/>
        </w:tabs>
        <w:ind w:left="1440" w:hanging="360"/>
      </w:pPr>
      <w:rPr>
        <w:rFonts w:ascii="新細明體" w:hAnsi="新細明體" w:hint="default"/>
      </w:rPr>
    </w:lvl>
    <w:lvl w:ilvl="2" w:tplc="FB8E3B1E" w:tentative="1">
      <w:start w:val="1"/>
      <w:numFmt w:val="bullet"/>
      <w:lvlText w:val="•"/>
      <w:lvlJc w:val="left"/>
      <w:pPr>
        <w:tabs>
          <w:tab w:val="num" w:pos="2160"/>
        </w:tabs>
        <w:ind w:left="2160" w:hanging="360"/>
      </w:pPr>
      <w:rPr>
        <w:rFonts w:ascii="新細明體" w:hAnsi="新細明體" w:hint="default"/>
      </w:rPr>
    </w:lvl>
    <w:lvl w:ilvl="3" w:tplc="7CF08EFC" w:tentative="1">
      <w:start w:val="1"/>
      <w:numFmt w:val="bullet"/>
      <w:lvlText w:val="•"/>
      <w:lvlJc w:val="left"/>
      <w:pPr>
        <w:tabs>
          <w:tab w:val="num" w:pos="2880"/>
        </w:tabs>
        <w:ind w:left="2880" w:hanging="360"/>
      </w:pPr>
      <w:rPr>
        <w:rFonts w:ascii="新細明體" w:hAnsi="新細明體" w:hint="default"/>
      </w:rPr>
    </w:lvl>
    <w:lvl w:ilvl="4" w:tplc="D8DCFE1C" w:tentative="1">
      <w:start w:val="1"/>
      <w:numFmt w:val="bullet"/>
      <w:lvlText w:val="•"/>
      <w:lvlJc w:val="left"/>
      <w:pPr>
        <w:tabs>
          <w:tab w:val="num" w:pos="3600"/>
        </w:tabs>
        <w:ind w:left="3600" w:hanging="360"/>
      </w:pPr>
      <w:rPr>
        <w:rFonts w:ascii="新細明體" w:hAnsi="新細明體" w:hint="default"/>
      </w:rPr>
    </w:lvl>
    <w:lvl w:ilvl="5" w:tplc="01102170" w:tentative="1">
      <w:start w:val="1"/>
      <w:numFmt w:val="bullet"/>
      <w:lvlText w:val="•"/>
      <w:lvlJc w:val="left"/>
      <w:pPr>
        <w:tabs>
          <w:tab w:val="num" w:pos="4320"/>
        </w:tabs>
        <w:ind w:left="4320" w:hanging="360"/>
      </w:pPr>
      <w:rPr>
        <w:rFonts w:ascii="新細明體" w:hAnsi="新細明體" w:hint="default"/>
      </w:rPr>
    </w:lvl>
    <w:lvl w:ilvl="6" w:tplc="3B66103C" w:tentative="1">
      <w:start w:val="1"/>
      <w:numFmt w:val="bullet"/>
      <w:lvlText w:val="•"/>
      <w:lvlJc w:val="left"/>
      <w:pPr>
        <w:tabs>
          <w:tab w:val="num" w:pos="5040"/>
        </w:tabs>
        <w:ind w:left="5040" w:hanging="360"/>
      </w:pPr>
      <w:rPr>
        <w:rFonts w:ascii="新細明體" w:hAnsi="新細明體" w:hint="default"/>
      </w:rPr>
    </w:lvl>
    <w:lvl w:ilvl="7" w:tplc="275C7DD6" w:tentative="1">
      <w:start w:val="1"/>
      <w:numFmt w:val="bullet"/>
      <w:lvlText w:val="•"/>
      <w:lvlJc w:val="left"/>
      <w:pPr>
        <w:tabs>
          <w:tab w:val="num" w:pos="5760"/>
        </w:tabs>
        <w:ind w:left="5760" w:hanging="360"/>
      </w:pPr>
      <w:rPr>
        <w:rFonts w:ascii="新細明體" w:hAnsi="新細明體" w:hint="default"/>
      </w:rPr>
    </w:lvl>
    <w:lvl w:ilvl="8" w:tplc="F49CA528" w:tentative="1">
      <w:start w:val="1"/>
      <w:numFmt w:val="bullet"/>
      <w:lvlText w:val="•"/>
      <w:lvlJc w:val="left"/>
      <w:pPr>
        <w:tabs>
          <w:tab w:val="num" w:pos="6480"/>
        </w:tabs>
        <w:ind w:left="6480" w:hanging="360"/>
      </w:pPr>
      <w:rPr>
        <w:rFonts w:ascii="新細明體" w:hAnsi="新細明體" w:hint="default"/>
      </w:rPr>
    </w:lvl>
  </w:abstractNum>
  <w:abstractNum w:abstractNumId="1" w15:restartNumberingAfterBreak="0">
    <w:nsid w:val="0AC671B9"/>
    <w:multiLevelType w:val="hybridMultilevel"/>
    <w:tmpl w:val="2C2C0070"/>
    <w:lvl w:ilvl="0" w:tplc="C400C402">
      <w:start w:val="1"/>
      <w:numFmt w:val="bullet"/>
      <w:lvlText w:val=""/>
      <w:lvlJc w:val="left"/>
      <w:pPr>
        <w:ind w:left="1778" w:hanging="360"/>
      </w:pPr>
      <w:rPr>
        <w:rFonts w:ascii="Wingdings" w:hAnsi="Wingding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 w15:restartNumberingAfterBreak="0">
    <w:nsid w:val="0C1649AA"/>
    <w:multiLevelType w:val="hybridMultilevel"/>
    <w:tmpl w:val="8AFEA872"/>
    <w:lvl w:ilvl="0" w:tplc="A15E3A52">
      <w:start w:val="1"/>
      <w:numFmt w:val="bullet"/>
      <w:lvlText w:val="•"/>
      <w:lvlJc w:val="left"/>
      <w:pPr>
        <w:tabs>
          <w:tab w:val="num" w:pos="720"/>
        </w:tabs>
        <w:ind w:left="720" w:hanging="360"/>
      </w:pPr>
      <w:rPr>
        <w:rFonts w:ascii="新細明體" w:hAnsi="新細明體" w:hint="default"/>
      </w:rPr>
    </w:lvl>
    <w:lvl w:ilvl="1" w:tplc="C3D2F182" w:tentative="1">
      <w:start w:val="1"/>
      <w:numFmt w:val="bullet"/>
      <w:lvlText w:val="•"/>
      <w:lvlJc w:val="left"/>
      <w:pPr>
        <w:tabs>
          <w:tab w:val="num" w:pos="1440"/>
        </w:tabs>
        <w:ind w:left="1440" w:hanging="360"/>
      </w:pPr>
      <w:rPr>
        <w:rFonts w:ascii="新細明體" w:hAnsi="新細明體" w:hint="default"/>
      </w:rPr>
    </w:lvl>
    <w:lvl w:ilvl="2" w:tplc="9BE2D322" w:tentative="1">
      <w:start w:val="1"/>
      <w:numFmt w:val="bullet"/>
      <w:lvlText w:val="•"/>
      <w:lvlJc w:val="left"/>
      <w:pPr>
        <w:tabs>
          <w:tab w:val="num" w:pos="2160"/>
        </w:tabs>
        <w:ind w:left="2160" w:hanging="360"/>
      </w:pPr>
      <w:rPr>
        <w:rFonts w:ascii="新細明體" w:hAnsi="新細明體" w:hint="default"/>
      </w:rPr>
    </w:lvl>
    <w:lvl w:ilvl="3" w:tplc="3C88BDF2" w:tentative="1">
      <w:start w:val="1"/>
      <w:numFmt w:val="bullet"/>
      <w:lvlText w:val="•"/>
      <w:lvlJc w:val="left"/>
      <w:pPr>
        <w:tabs>
          <w:tab w:val="num" w:pos="2880"/>
        </w:tabs>
        <w:ind w:left="2880" w:hanging="360"/>
      </w:pPr>
      <w:rPr>
        <w:rFonts w:ascii="新細明體" w:hAnsi="新細明體" w:hint="default"/>
      </w:rPr>
    </w:lvl>
    <w:lvl w:ilvl="4" w:tplc="9D9A9E7C" w:tentative="1">
      <w:start w:val="1"/>
      <w:numFmt w:val="bullet"/>
      <w:lvlText w:val="•"/>
      <w:lvlJc w:val="left"/>
      <w:pPr>
        <w:tabs>
          <w:tab w:val="num" w:pos="3600"/>
        </w:tabs>
        <w:ind w:left="3600" w:hanging="360"/>
      </w:pPr>
      <w:rPr>
        <w:rFonts w:ascii="新細明體" w:hAnsi="新細明體" w:hint="default"/>
      </w:rPr>
    </w:lvl>
    <w:lvl w:ilvl="5" w:tplc="8D1287FE" w:tentative="1">
      <w:start w:val="1"/>
      <w:numFmt w:val="bullet"/>
      <w:lvlText w:val="•"/>
      <w:lvlJc w:val="left"/>
      <w:pPr>
        <w:tabs>
          <w:tab w:val="num" w:pos="4320"/>
        </w:tabs>
        <w:ind w:left="4320" w:hanging="360"/>
      </w:pPr>
      <w:rPr>
        <w:rFonts w:ascii="新細明體" w:hAnsi="新細明體" w:hint="default"/>
      </w:rPr>
    </w:lvl>
    <w:lvl w:ilvl="6" w:tplc="9476D628" w:tentative="1">
      <w:start w:val="1"/>
      <w:numFmt w:val="bullet"/>
      <w:lvlText w:val="•"/>
      <w:lvlJc w:val="left"/>
      <w:pPr>
        <w:tabs>
          <w:tab w:val="num" w:pos="5040"/>
        </w:tabs>
        <w:ind w:left="5040" w:hanging="360"/>
      </w:pPr>
      <w:rPr>
        <w:rFonts w:ascii="新細明體" w:hAnsi="新細明體" w:hint="default"/>
      </w:rPr>
    </w:lvl>
    <w:lvl w:ilvl="7" w:tplc="33CEC182" w:tentative="1">
      <w:start w:val="1"/>
      <w:numFmt w:val="bullet"/>
      <w:lvlText w:val="•"/>
      <w:lvlJc w:val="left"/>
      <w:pPr>
        <w:tabs>
          <w:tab w:val="num" w:pos="5760"/>
        </w:tabs>
        <w:ind w:left="5760" w:hanging="360"/>
      </w:pPr>
      <w:rPr>
        <w:rFonts w:ascii="新細明體" w:hAnsi="新細明體" w:hint="default"/>
      </w:rPr>
    </w:lvl>
    <w:lvl w:ilvl="8" w:tplc="4C2A4176" w:tentative="1">
      <w:start w:val="1"/>
      <w:numFmt w:val="bullet"/>
      <w:lvlText w:val="•"/>
      <w:lvlJc w:val="left"/>
      <w:pPr>
        <w:tabs>
          <w:tab w:val="num" w:pos="6480"/>
        </w:tabs>
        <w:ind w:left="6480" w:hanging="360"/>
      </w:pPr>
      <w:rPr>
        <w:rFonts w:ascii="新細明體" w:hAnsi="新細明體" w:hint="default"/>
      </w:rPr>
    </w:lvl>
  </w:abstractNum>
  <w:abstractNum w:abstractNumId="3" w15:restartNumberingAfterBreak="0">
    <w:nsid w:val="0DE10FFC"/>
    <w:multiLevelType w:val="hybridMultilevel"/>
    <w:tmpl w:val="EFA07082"/>
    <w:lvl w:ilvl="0" w:tplc="C400C40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0B40A69"/>
    <w:multiLevelType w:val="hybridMultilevel"/>
    <w:tmpl w:val="3FBC7164"/>
    <w:lvl w:ilvl="0" w:tplc="7A769D04">
      <w:start w:val="1"/>
      <w:numFmt w:val="bullet"/>
      <w:lvlText w:val="•"/>
      <w:lvlJc w:val="left"/>
      <w:pPr>
        <w:tabs>
          <w:tab w:val="num" w:pos="720"/>
        </w:tabs>
        <w:ind w:left="720" w:hanging="360"/>
      </w:pPr>
      <w:rPr>
        <w:rFonts w:ascii="新細明體" w:hAnsi="新細明體" w:hint="default"/>
      </w:rPr>
    </w:lvl>
    <w:lvl w:ilvl="1" w:tplc="212C1064" w:tentative="1">
      <w:start w:val="1"/>
      <w:numFmt w:val="bullet"/>
      <w:lvlText w:val="•"/>
      <w:lvlJc w:val="left"/>
      <w:pPr>
        <w:tabs>
          <w:tab w:val="num" w:pos="1440"/>
        </w:tabs>
        <w:ind w:left="1440" w:hanging="360"/>
      </w:pPr>
      <w:rPr>
        <w:rFonts w:ascii="新細明體" w:hAnsi="新細明體" w:hint="default"/>
      </w:rPr>
    </w:lvl>
    <w:lvl w:ilvl="2" w:tplc="4992B5B0" w:tentative="1">
      <w:start w:val="1"/>
      <w:numFmt w:val="bullet"/>
      <w:lvlText w:val="•"/>
      <w:lvlJc w:val="left"/>
      <w:pPr>
        <w:tabs>
          <w:tab w:val="num" w:pos="2160"/>
        </w:tabs>
        <w:ind w:left="2160" w:hanging="360"/>
      </w:pPr>
      <w:rPr>
        <w:rFonts w:ascii="新細明體" w:hAnsi="新細明體" w:hint="default"/>
      </w:rPr>
    </w:lvl>
    <w:lvl w:ilvl="3" w:tplc="9A24FE3A" w:tentative="1">
      <w:start w:val="1"/>
      <w:numFmt w:val="bullet"/>
      <w:lvlText w:val="•"/>
      <w:lvlJc w:val="left"/>
      <w:pPr>
        <w:tabs>
          <w:tab w:val="num" w:pos="2880"/>
        </w:tabs>
        <w:ind w:left="2880" w:hanging="360"/>
      </w:pPr>
      <w:rPr>
        <w:rFonts w:ascii="新細明體" w:hAnsi="新細明體" w:hint="default"/>
      </w:rPr>
    </w:lvl>
    <w:lvl w:ilvl="4" w:tplc="79949B5C" w:tentative="1">
      <w:start w:val="1"/>
      <w:numFmt w:val="bullet"/>
      <w:lvlText w:val="•"/>
      <w:lvlJc w:val="left"/>
      <w:pPr>
        <w:tabs>
          <w:tab w:val="num" w:pos="3600"/>
        </w:tabs>
        <w:ind w:left="3600" w:hanging="360"/>
      </w:pPr>
      <w:rPr>
        <w:rFonts w:ascii="新細明體" w:hAnsi="新細明體" w:hint="default"/>
      </w:rPr>
    </w:lvl>
    <w:lvl w:ilvl="5" w:tplc="A572AC9E" w:tentative="1">
      <w:start w:val="1"/>
      <w:numFmt w:val="bullet"/>
      <w:lvlText w:val="•"/>
      <w:lvlJc w:val="left"/>
      <w:pPr>
        <w:tabs>
          <w:tab w:val="num" w:pos="4320"/>
        </w:tabs>
        <w:ind w:left="4320" w:hanging="360"/>
      </w:pPr>
      <w:rPr>
        <w:rFonts w:ascii="新細明體" w:hAnsi="新細明體" w:hint="default"/>
      </w:rPr>
    </w:lvl>
    <w:lvl w:ilvl="6" w:tplc="AF722BD0" w:tentative="1">
      <w:start w:val="1"/>
      <w:numFmt w:val="bullet"/>
      <w:lvlText w:val="•"/>
      <w:lvlJc w:val="left"/>
      <w:pPr>
        <w:tabs>
          <w:tab w:val="num" w:pos="5040"/>
        </w:tabs>
        <w:ind w:left="5040" w:hanging="360"/>
      </w:pPr>
      <w:rPr>
        <w:rFonts w:ascii="新細明體" w:hAnsi="新細明體" w:hint="default"/>
      </w:rPr>
    </w:lvl>
    <w:lvl w:ilvl="7" w:tplc="44DCFB6A" w:tentative="1">
      <w:start w:val="1"/>
      <w:numFmt w:val="bullet"/>
      <w:lvlText w:val="•"/>
      <w:lvlJc w:val="left"/>
      <w:pPr>
        <w:tabs>
          <w:tab w:val="num" w:pos="5760"/>
        </w:tabs>
        <w:ind w:left="5760" w:hanging="360"/>
      </w:pPr>
      <w:rPr>
        <w:rFonts w:ascii="新細明體" w:hAnsi="新細明體" w:hint="default"/>
      </w:rPr>
    </w:lvl>
    <w:lvl w:ilvl="8" w:tplc="CA4A0A26" w:tentative="1">
      <w:start w:val="1"/>
      <w:numFmt w:val="bullet"/>
      <w:lvlText w:val="•"/>
      <w:lvlJc w:val="left"/>
      <w:pPr>
        <w:tabs>
          <w:tab w:val="num" w:pos="6480"/>
        </w:tabs>
        <w:ind w:left="6480" w:hanging="360"/>
      </w:pPr>
      <w:rPr>
        <w:rFonts w:ascii="新細明體" w:hAnsi="新細明體" w:hint="default"/>
      </w:rPr>
    </w:lvl>
  </w:abstractNum>
  <w:abstractNum w:abstractNumId="5" w15:restartNumberingAfterBreak="0">
    <w:nsid w:val="1A9F6936"/>
    <w:multiLevelType w:val="multilevel"/>
    <w:tmpl w:val="220A4108"/>
    <w:lvl w:ilvl="0">
      <w:start w:val="1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0C6C0C"/>
    <w:multiLevelType w:val="hybridMultilevel"/>
    <w:tmpl w:val="D3B66D0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15:restartNumberingAfterBreak="0">
    <w:nsid w:val="44E018A1"/>
    <w:multiLevelType w:val="hybridMultilevel"/>
    <w:tmpl w:val="7C2AE71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8" w15:restartNumberingAfterBreak="0">
    <w:nsid w:val="49477B21"/>
    <w:multiLevelType w:val="hybridMultilevel"/>
    <w:tmpl w:val="1F3CC1B4"/>
    <w:lvl w:ilvl="0" w:tplc="1BACF1CE">
      <w:start w:val="1"/>
      <w:numFmt w:val="lowerRoman"/>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0">
    <w:nsid w:val="4C7C7399"/>
    <w:multiLevelType w:val="hybridMultilevel"/>
    <w:tmpl w:val="1266268E"/>
    <w:lvl w:ilvl="0" w:tplc="82100D18">
      <w:start w:val="1"/>
      <w:numFmt w:val="bullet"/>
      <w:lvlText w:val="•"/>
      <w:lvlJc w:val="left"/>
      <w:pPr>
        <w:tabs>
          <w:tab w:val="num" w:pos="720"/>
        </w:tabs>
        <w:ind w:left="720" w:hanging="360"/>
      </w:pPr>
      <w:rPr>
        <w:rFonts w:ascii="新細明體" w:hAnsi="新細明體" w:hint="default"/>
      </w:rPr>
    </w:lvl>
    <w:lvl w:ilvl="1" w:tplc="A04C21D6" w:tentative="1">
      <w:start w:val="1"/>
      <w:numFmt w:val="bullet"/>
      <w:lvlText w:val="•"/>
      <w:lvlJc w:val="left"/>
      <w:pPr>
        <w:tabs>
          <w:tab w:val="num" w:pos="1440"/>
        </w:tabs>
        <w:ind w:left="1440" w:hanging="360"/>
      </w:pPr>
      <w:rPr>
        <w:rFonts w:ascii="新細明體" w:hAnsi="新細明體" w:hint="default"/>
      </w:rPr>
    </w:lvl>
    <w:lvl w:ilvl="2" w:tplc="5FDCE5EA" w:tentative="1">
      <w:start w:val="1"/>
      <w:numFmt w:val="bullet"/>
      <w:lvlText w:val="•"/>
      <w:lvlJc w:val="left"/>
      <w:pPr>
        <w:tabs>
          <w:tab w:val="num" w:pos="2160"/>
        </w:tabs>
        <w:ind w:left="2160" w:hanging="360"/>
      </w:pPr>
      <w:rPr>
        <w:rFonts w:ascii="新細明體" w:hAnsi="新細明體" w:hint="default"/>
      </w:rPr>
    </w:lvl>
    <w:lvl w:ilvl="3" w:tplc="DC5061F0" w:tentative="1">
      <w:start w:val="1"/>
      <w:numFmt w:val="bullet"/>
      <w:lvlText w:val="•"/>
      <w:lvlJc w:val="left"/>
      <w:pPr>
        <w:tabs>
          <w:tab w:val="num" w:pos="2880"/>
        </w:tabs>
        <w:ind w:left="2880" w:hanging="360"/>
      </w:pPr>
      <w:rPr>
        <w:rFonts w:ascii="新細明體" w:hAnsi="新細明體" w:hint="default"/>
      </w:rPr>
    </w:lvl>
    <w:lvl w:ilvl="4" w:tplc="99E0CC86" w:tentative="1">
      <w:start w:val="1"/>
      <w:numFmt w:val="bullet"/>
      <w:lvlText w:val="•"/>
      <w:lvlJc w:val="left"/>
      <w:pPr>
        <w:tabs>
          <w:tab w:val="num" w:pos="3600"/>
        </w:tabs>
        <w:ind w:left="3600" w:hanging="360"/>
      </w:pPr>
      <w:rPr>
        <w:rFonts w:ascii="新細明體" w:hAnsi="新細明體" w:hint="default"/>
      </w:rPr>
    </w:lvl>
    <w:lvl w:ilvl="5" w:tplc="DE0C34DA" w:tentative="1">
      <w:start w:val="1"/>
      <w:numFmt w:val="bullet"/>
      <w:lvlText w:val="•"/>
      <w:lvlJc w:val="left"/>
      <w:pPr>
        <w:tabs>
          <w:tab w:val="num" w:pos="4320"/>
        </w:tabs>
        <w:ind w:left="4320" w:hanging="360"/>
      </w:pPr>
      <w:rPr>
        <w:rFonts w:ascii="新細明體" w:hAnsi="新細明體" w:hint="default"/>
      </w:rPr>
    </w:lvl>
    <w:lvl w:ilvl="6" w:tplc="F7F04554" w:tentative="1">
      <w:start w:val="1"/>
      <w:numFmt w:val="bullet"/>
      <w:lvlText w:val="•"/>
      <w:lvlJc w:val="left"/>
      <w:pPr>
        <w:tabs>
          <w:tab w:val="num" w:pos="5040"/>
        </w:tabs>
        <w:ind w:left="5040" w:hanging="360"/>
      </w:pPr>
      <w:rPr>
        <w:rFonts w:ascii="新細明體" w:hAnsi="新細明體" w:hint="default"/>
      </w:rPr>
    </w:lvl>
    <w:lvl w:ilvl="7" w:tplc="0D0CD1F4" w:tentative="1">
      <w:start w:val="1"/>
      <w:numFmt w:val="bullet"/>
      <w:lvlText w:val="•"/>
      <w:lvlJc w:val="left"/>
      <w:pPr>
        <w:tabs>
          <w:tab w:val="num" w:pos="5760"/>
        </w:tabs>
        <w:ind w:left="5760" w:hanging="360"/>
      </w:pPr>
      <w:rPr>
        <w:rFonts w:ascii="新細明體" w:hAnsi="新細明體" w:hint="default"/>
      </w:rPr>
    </w:lvl>
    <w:lvl w:ilvl="8" w:tplc="074EA87A" w:tentative="1">
      <w:start w:val="1"/>
      <w:numFmt w:val="bullet"/>
      <w:lvlText w:val="•"/>
      <w:lvlJc w:val="left"/>
      <w:pPr>
        <w:tabs>
          <w:tab w:val="num" w:pos="6480"/>
        </w:tabs>
        <w:ind w:left="6480" w:hanging="360"/>
      </w:pPr>
      <w:rPr>
        <w:rFonts w:ascii="新細明體" w:hAnsi="新細明體" w:hint="default"/>
      </w:rPr>
    </w:lvl>
  </w:abstractNum>
  <w:abstractNum w:abstractNumId="10" w15:restartNumberingAfterBreak="0">
    <w:nsid w:val="52C34A4A"/>
    <w:multiLevelType w:val="hybridMultilevel"/>
    <w:tmpl w:val="00AE740E"/>
    <w:lvl w:ilvl="0" w:tplc="E6B690AE">
      <w:start w:val="3"/>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88F3CEA"/>
    <w:multiLevelType w:val="hybridMultilevel"/>
    <w:tmpl w:val="1CA2E5F4"/>
    <w:lvl w:ilvl="0" w:tplc="C400C40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99617E1"/>
    <w:multiLevelType w:val="hybridMultilevel"/>
    <w:tmpl w:val="9246258A"/>
    <w:lvl w:ilvl="0" w:tplc="81B8F75E">
      <w:start w:val="1"/>
      <w:numFmt w:val="bullet"/>
      <w:lvlText w:val="•"/>
      <w:lvlJc w:val="left"/>
      <w:pPr>
        <w:tabs>
          <w:tab w:val="num" w:pos="720"/>
        </w:tabs>
        <w:ind w:left="720" w:hanging="360"/>
      </w:pPr>
      <w:rPr>
        <w:rFonts w:ascii="新細明體" w:hAnsi="新細明體" w:hint="default"/>
      </w:rPr>
    </w:lvl>
    <w:lvl w:ilvl="1" w:tplc="8ABA6DE8" w:tentative="1">
      <w:start w:val="1"/>
      <w:numFmt w:val="bullet"/>
      <w:lvlText w:val="•"/>
      <w:lvlJc w:val="left"/>
      <w:pPr>
        <w:tabs>
          <w:tab w:val="num" w:pos="1440"/>
        </w:tabs>
        <w:ind w:left="1440" w:hanging="360"/>
      </w:pPr>
      <w:rPr>
        <w:rFonts w:ascii="新細明體" w:hAnsi="新細明體" w:hint="default"/>
      </w:rPr>
    </w:lvl>
    <w:lvl w:ilvl="2" w:tplc="E9227F68" w:tentative="1">
      <w:start w:val="1"/>
      <w:numFmt w:val="bullet"/>
      <w:lvlText w:val="•"/>
      <w:lvlJc w:val="left"/>
      <w:pPr>
        <w:tabs>
          <w:tab w:val="num" w:pos="2160"/>
        </w:tabs>
        <w:ind w:left="2160" w:hanging="360"/>
      </w:pPr>
      <w:rPr>
        <w:rFonts w:ascii="新細明體" w:hAnsi="新細明體" w:hint="default"/>
      </w:rPr>
    </w:lvl>
    <w:lvl w:ilvl="3" w:tplc="1A38521C" w:tentative="1">
      <w:start w:val="1"/>
      <w:numFmt w:val="bullet"/>
      <w:lvlText w:val="•"/>
      <w:lvlJc w:val="left"/>
      <w:pPr>
        <w:tabs>
          <w:tab w:val="num" w:pos="2880"/>
        </w:tabs>
        <w:ind w:left="2880" w:hanging="360"/>
      </w:pPr>
      <w:rPr>
        <w:rFonts w:ascii="新細明體" w:hAnsi="新細明體" w:hint="default"/>
      </w:rPr>
    </w:lvl>
    <w:lvl w:ilvl="4" w:tplc="8E4EB376" w:tentative="1">
      <w:start w:val="1"/>
      <w:numFmt w:val="bullet"/>
      <w:lvlText w:val="•"/>
      <w:lvlJc w:val="left"/>
      <w:pPr>
        <w:tabs>
          <w:tab w:val="num" w:pos="3600"/>
        </w:tabs>
        <w:ind w:left="3600" w:hanging="360"/>
      </w:pPr>
      <w:rPr>
        <w:rFonts w:ascii="新細明體" w:hAnsi="新細明體" w:hint="default"/>
      </w:rPr>
    </w:lvl>
    <w:lvl w:ilvl="5" w:tplc="443406EC" w:tentative="1">
      <w:start w:val="1"/>
      <w:numFmt w:val="bullet"/>
      <w:lvlText w:val="•"/>
      <w:lvlJc w:val="left"/>
      <w:pPr>
        <w:tabs>
          <w:tab w:val="num" w:pos="4320"/>
        </w:tabs>
        <w:ind w:left="4320" w:hanging="360"/>
      </w:pPr>
      <w:rPr>
        <w:rFonts w:ascii="新細明體" w:hAnsi="新細明體" w:hint="default"/>
      </w:rPr>
    </w:lvl>
    <w:lvl w:ilvl="6" w:tplc="CBB44E9C" w:tentative="1">
      <w:start w:val="1"/>
      <w:numFmt w:val="bullet"/>
      <w:lvlText w:val="•"/>
      <w:lvlJc w:val="left"/>
      <w:pPr>
        <w:tabs>
          <w:tab w:val="num" w:pos="5040"/>
        </w:tabs>
        <w:ind w:left="5040" w:hanging="360"/>
      </w:pPr>
      <w:rPr>
        <w:rFonts w:ascii="新細明體" w:hAnsi="新細明體" w:hint="default"/>
      </w:rPr>
    </w:lvl>
    <w:lvl w:ilvl="7" w:tplc="3AE85DAE" w:tentative="1">
      <w:start w:val="1"/>
      <w:numFmt w:val="bullet"/>
      <w:lvlText w:val="•"/>
      <w:lvlJc w:val="left"/>
      <w:pPr>
        <w:tabs>
          <w:tab w:val="num" w:pos="5760"/>
        </w:tabs>
        <w:ind w:left="5760" w:hanging="360"/>
      </w:pPr>
      <w:rPr>
        <w:rFonts w:ascii="新細明體" w:hAnsi="新細明體" w:hint="default"/>
      </w:rPr>
    </w:lvl>
    <w:lvl w:ilvl="8" w:tplc="7A3E414A" w:tentative="1">
      <w:start w:val="1"/>
      <w:numFmt w:val="bullet"/>
      <w:lvlText w:val="•"/>
      <w:lvlJc w:val="left"/>
      <w:pPr>
        <w:tabs>
          <w:tab w:val="num" w:pos="6480"/>
        </w:tabs>
        <w:ind w:left="6480" w:hanging="360"/>
      </w:pPr>
      <w:rPr>
        <w:rFonts w:ascii="新細明體" w:hAnsi="新細明體" w:hint="default"/>
      </w:rPr>
    </w:lvl>
  </w:abstractNum>
  <w:abstractNum w:abstractNumId="13" w15:restartNumberingAfterBreak="0">
    <w:nsid w:val="62940796"/>
    <w:multiLevelType w:val="hybridMultilevel"/>
    <w:tmpl w:val="43F453F8"/>
    <w:lvl w:ilvl="0" w:tplc="1BACF1CE">
      <w:start w:val="1"/>
      <w:numFmt w:val="lowerRoman"/>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639C2C11"/>
    <w:multiLevelType w:val="hybridMultilevel"/>
    <w:tmpl w:val="89283CD6"/>
    <w:lvl w:ilvl="0" w:tplc="64A0C9F2">
      <w:start w:val="1"/>
      <w:numFmt w:val="bullet"/>
      <w:lvlText w:val="•"/>
      <w:lvlJc w:val="left"/>
      <w:pPr>
        <w:tabs>
          <w:tab w:val="num" w:pos="720"/>
        </w:tabs>
        <w:ind w:left="720" w:hanging="360"/>
      </w:pPr>
      <w:rPr>
        <w:rFonts w:ascii="新細明體" w:hAnsi="新細明體" w:hint="default"/>
      </w:rPr>
    </w:lvl>
    <w:lvl w:ilvl="1" w:tplc="F24E25C2" w:tentative="1">
      <w:start w:val="1"/>
      <w:numFmt w:val="bullet"/>
      <w:lvlText w:val="•"/>
      <w:lvlJc w:val="left"/>
      <w:pPr>
        <w:tabs>
          <w:tab w:val="num" w:pos="1440"/>
        </w:tabs>
        <w:ind w:left="1440" w:hanging="360"/>
      </w:pPr>
      <w:rPr>
        <w:rFonts w:ascii="新細明體" w:hAnsi="新細明體" w:hint="default"/>
      </w:rPr>
    </w:lvl>
    <w:lvl w:ilvl="2" w:tplc="C76E633E" w:tentative="1">
      <w:start w:val="1"/>
      <w:numFmt w:val="bullet"/>
      <w:lvlText w:val="•"/>
      <w:lvlJc w:val="left"/>
      <w:pPr>
        <w:tabs>
          <w:tab w:val="num" w:pos="2160"/>
        </w:tabs>
        <w:ind w:left="2160" w:hanging="360"/>
      </w:pPr>
      <w:rPr>
        <w:rFonts w:ascii="新細明體" w:hAnsi="新細明體" w:hint="default"/>
      </w:rPr>
    </w:lvl>
    <w:lvl w:ilvl="3" w:tplc="A788AB68" w:tentative="1">
      <w:start w:val="1"/>
      <w:numFmt w:val="bullet"/>
      <w:lvlText w:val="•"/>
      <w:lvlJc w:val="left"/>
      <w:pPr>
        <w:tabs>
          <w:tab w:val="num" w:pos="2880"/>
        </w:tabs>
        <w:ind w:left="2880" w:hanging="360"/>
      </w:pPr>
      <w:rPr>
        <w:rFonts w:ascii="新細明體" w:hAnsi="新細明體" w:hint="default"/>
      </w:rPr>
    </w:lvl>
    <w:lvl w:ilvl="4" w:tplc="2092D14C" w:tentative="1">
      <w:start w:val="1"/>
      <w:numFmt w:val="bullet"/>
      <w:lvlText w:val="•"/>
      <w:lvlJc w:val="left"/>
      <w:pPr>
        <w:tabs>
          <w:tab w:val="num" w:pos="3600"/>
        </w:tabs>
        <w:ind w:left="3600" w:hanging="360"/>
      </w:pPr>
      <w:rPr>
        <w:rFonts w:ascii="新細明體" w:hAnsi="新細明體" w:hint="default"/>
      </w:rPr>
    </w:lvl>
    <w:lvl w:ilvl="5" w:tplc="D23E1028" w:tentative="1">
      <w:start w:val="1"/>
      <w:numFmt w:val="bullet"/>
      <w:lvlText w:val="•"/>
      <w:lvlJc w:val="left"/>
      <w:pPr>
        <w:tabs>
          <w:tab w:val="num" w:pos="4320"/>
        </w:tabs>
        <w:ind w:left="4320" w:hanging="360"/>
      </w:pPr>
      <w:rPr>
        <w:rFonts w:ascii="新細明體" w:hAnsi="新細明體" w:hint="default"/>
      </w:rPr>
    </w:lvl>
    <w:lvl w:ilvl="6" w:tplc="47D41BE0" w:tentative="1">
      <w:start w:val="1"/>
      <w:numFmt w:val="bullet"/>
      <w:lvlText w:val="•"/>
      <w:lvlJc w:val="left"/>
      <w:pPr>
        <w:tabs>
          <w:tab w:val="num" w:pos="5040"/>
        </w:tabs>
        <w:ind w:left="5040" w:hanging="360"/>
      </w:pPr>
      <w:rPr>
        <w:rFonts w:ascii="新細明體" w:hAnsi="新細明體" w:hint="default"/>
      </w:rPr>
    </w:lvl>
    <w:lvl w:ilvl="7" w:tplc="DB5CD674" w:tentative="1">
      <w:start w:val="1"/>
      <w:numFmt w:val="bullet"/>
      <w:lvlText w:val="•"/>
      <w:lvlJc w:val="left"/>
      <w:pPr>
        <w:tabs>
          <w:tab w:val="num" w:pos="5760"/>
        </w:tabs>
        <w:ind w:left="5760" w:hanging="360"/>
      </w:pPr>
      <w:rPr>
        <w:rFonts w:ascii="新細明體" w:hAnsi="新細明體" w:hint="default"/>
      </w:rPr>
    </w:lvl>
    <w:lvl w:ilvl="8" w:tplc="AE00CDE4" w:tentative="1">
      <w:start w:val="1"/>
      <w:numFmt w:val="bullet"/>
      <w:lvlText w:val="•"/>
      <w:lvlJc w:val="left"/>
      <w:pPr>
        <w:tabs>
          <w:tab w:val="num" w:pos="6480"/>
        </w:tabs>
        <w:ind w:left="6480" w:hanging="360"/>
      </w:pPr>
      <w:rPr>
        <w:rFonts w:ascii="新細明體" w:hAnsi="新細明體" w:hint="default"/>
      </w:rPr>
    </w:lvl>
  </w:abstractNum>
  <w:abstractNum w:abstractNumId="15" w15:restartNumberingAfterBreak="0">
    <w:nsid w:val="71163BC4"/>
    <w:multiLevelType w:val="hybridMultilevel"/>
    <w:tmpl w:val="B1FA55E2"/>
    <w:lvl w:ilvl="0" w:tplc="3AD0C7C4">
      <w:start w:val="1"/>
      <w:numFmt w:val="lowerLetter"/>
      <w:lvlText w:val="(%1)"/>
      <w:lvlJc w:val="left"/>
      <w:pPr>
        <w:ind w:left="1048" w:hanging="480"/>
      </w:pPr>
      <w:rPr>
        <w:rFonts w:asciiTheme="minorHAnsi" w:eastAsia="標楷體" w:hAnsiTheme="minorHAnsi" w:cstheme="minorHAnsi" w:hint="default"/>
        <w:b w:val="0"/>
        <w:color w:val="auto"/>
        <w:u w:val="none"/>
        <w:lang w:val="en-US"/>
      </w:rPr>
    </w:lvl>
    <w:lvl w:ilvl="1" w:tplc="FCF4ABFC">
      <w:start w:val="1"/>
      <w:numFmt w:val="taiwaneseCountingThousand"/>
      <w:lvlText w:val="（%2）"/>
      <w:lvlJc w:val="left"/>
      <w:pPr>
        <w:ind w:left="1047" w:hanging="480"/>
      </w:pPr>
      <w:rPr>
        <w:rFonts w:hint="default"/>
        <w:b w:val="0"/>
        <w:color w:val="auto"/>
        <w:u w:val="none"/>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6" w15:restartNumberingAfterBreak="0">
    <w:nsid w:val="7D7A0EF5"/>
    <w:multiLevelType w:val="hybridMultilevel"/>
    <w:tmpl w:val="E460DD0E"/>
    <w:lvl w:ilvl="0" w:tplc="9F6A21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6"/>
  </w:num>
  <w:num w:numId="3">
    <w:abstractNumId w:val="15"/>
  </w:num>
  <w:num w:numId="4">
    <w:abstractNumId w:val="5"/>
  </w:num>
  <w:num w:numId="5">
    <w:abstractNumId w:val="8"/>
  </w:num>
  <w:num w:numId="6">
    <w:abstractNumId w:val="1"/>
  </w:num>
  <w:num w:numId="7">
    <w:abstractNumId w:val="13"/>
  </w:num>
  <w:num w:numId="8">
    <w:abstractNumId w:val="9"/>
  </w:num>
  <w:num w:numId="9">
    <w:abstractNumId w:val="14"/>
  </w:num>
  <w:num w:numId="10">
    <w:abstractNumId w:val="12"/>
  </w:num>
  <w:num w:numId="11">
    <w:abstractNumId w:val="4"/>
  </w:num>
  <w:num w:numId="12">
    <w:abstractNumId w:val="2"/>
  </w:num>
  <w:num w:numId="13">
    <w:abstractNumId w:val="0"/>
  </w:num>
  <w:num w:numId="14">
    <w:abstractNumId w:val="11"/>
  </w:num>
  <w:num w:numId="15">
    <w:abstractNumId w:val="3"/>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29"/>
    <w:rsid w:val="0000060F"/>
    <w:rsid w:val="00007740"/>
    <w:rsid w:val="00010E79"/>
    <w:rsid w:val="0001226D"/>
    <w:rsid w:val="000132E8"/>
    <w:rsid w:val="00013DB0"/>
    <w:rsid w:val="00015CCB"/>
    <w:rsid w:val="00021942"/>
    <w:rsid w:val="0002308B"/>
    <w:rsid w:val="00024E47"/>
    <w:rsid w:val="00036762"/>
    <w:rsid w:val="000401C7"/>
    <w:rsid w:val="00040B54"/>
    <w:rsid w:val="00045CDB"/>
    <w:rsid w:val="00046B99"/>
    <w:rsid w:val="00047473"/>
    <w:rsid w:val="0005071F"/>
    <w:rsid w:val="00053523"/>
    <w:rsid w:val="00056FA9"/>
    <w:rsid w:val="00060E7D"/>
    <w:rsid w:val="000642B6"/>
    <w:rsid w:val="0006693B"/>
    <w:rsid w:val="00070089"/>
    <w:rsid w:val="00071372"/>
    <w:rsid w:val="00077669"/>
    <w:rsid w:val="00077F54"/>
    <w:rsid w:val="0008159C"/>
    <w:rsid w:val="00091F3F"/>
    <w:rsid w:val="00092348"/>
    <w:rsid w:val="0009602A"/>
    <w:rsid w:val="0009643A"/>
    <w:rsid w:val="000A66A6"/>
    <w:rsid w:val="000A762A"/>
    <w:rsid w:val="000A7957"/>
    <w:rsid w:val="000B10E6"/>
    <w:rsid w:val="000B3A18"/>
    <w:rsid w:val="000B66EA"/>
    <w:rsid w:val="000B6DEA"/>
    <w:rsid w:val="000C4789"/>
    <w:rsid w:val="000C5175"/>
    <w:rsid w:val="000C5B7C"/>
    <w:rsid w:val="000D0219"/>
    <w:rsid w:val="000D5C2F"/>
    <w:rsid w:val="000D61E2"/>
    <w:rsid w:val="000E14E6"/>
    <w:rsid w:val="000E24D4"/>
    <w:rsid w:val="000E433F"/>
    <w:rsid w:val="000E5C23"/>
    <w:rsid w:val="000F0DED"/>
    <w:rsid w:val="000F1E6A"/>
    <w:rsid w:val="000F3677"/>
    <w:rsid w:val="000F614A"/>
    <w:rsid w:val="000F69D0"/>
    <w:rsid w:val="001002D5"/>
    <w:rsid w:val="001021AE"/>
    <w:rsid w:val="0010349E"/>
    <w:rsid w:val="001070A5"/>
    <w:rsid w:val="00111EAA"/>
    <w:rsid w:val="00113FCE"/>
    <w:rsid w:val="00114F71"/>
    <w:rsid w:val="001164B9"/>
    <w:rsid w:val="0012045A"/>
    <w:rsid w:val="00122838"/>
    <w:rsid w:val="001235F9"/>
    <w:rsid w:val="00124E3F"/>
    <w:rsid w:val="0013050C"/>
    <w:rsid w:val="0013052D"/>
    <w:rsid w:val="001322AB"/>
    <w:rsid w:val="00132C18"/>
    <w:rsid w:val="00132CB3"/>
    <w:rsid w:val="00137932"/>
    <w:rsid w:val="00137D65"/>
    <w:rsid w:val="001403D4"/>
    <w:rsid w:val="00140D10"/>
    <w:rsid w:val="001449A8"/>
    <w:rsid w:val="00145305"/>
    <w:rsid w:val="00145A33"/>
    <w:rsid w:val="00147583"/>
    <w:rsid w:val="0015312E"/>
    <w:rsid w:val="001561DB"/>
    <w:rsid w:val="001565F9"/>
    <w:rsid w:val="0016272E"/>
    <w:rsid w:val="00164D8A"/>
    <w:rsid w:val="00171C32"/>
    <w:rsid w:val="0017275E"/>
    <w:rsid w:val="00174F8C"/>
    <w:rsid w:val="00175ABD"/>
    <w:rsid w:val="001762CE"/>
    <w:rsid w:val="001769FF"/>
    <w:rsid w:val="001802F9"/>
    <w:rsid w:val="00183C87"/>
    <w:rsid w:val="0018412B"/>
    <w:rsid w:val="00186CB9"/>
    <w:rsid w:val="00187FBD"/>
    <w:rsid w:val="001919D9"/>
    <w:rsid w:val="00191EDB"/>
    <w:rsid w:val="00191F7B"/>
    <w:rsid w:val="00196996"/>
    <w:rsid w:val="001975BF"/>
    <w:rsid w:val="00197B89"/>
    <w:rsid w:val="001A0E16"/>
    <w:rsid w:val="001A3021"/>
    <w:rsid w:val="001A3EBE"/>
    <w:rsid w:val="001B0845"/>
    <w:rsid w:val="001B365F"/>
    <w:rsid w:val="001B6F99"/>
    <w:rsid w:val="001C0120"/>
    <w:rsid w:val="001C08AC"/>
    <w:rsid w:val="001C09A4"/>
    <w:rsid w:val="001C60BC"/>
    <w:rsid w:val="001D085D"/>
    <w:rsid w:val="001D3305"/>
    <w:rsid w:val="001D68BC"/>
    <w:rsid w:val="001E04A3"/>
    <w:rsid w:val="001E4268"/>
    <w:rsid w:val="001E498A"/>
    <w:rsid w:val="001E7561"/>
    <w:rsid w:val="001E7C25"/>
    <w:rsid w:val="001F2BE9"/>
    <w:rsid w:val="001F3875"/>
    <w:rsid w:val="001F5E5D"/>
    <w:rsid w:val="00200324"/>
    <w:rsid w:val="00202B1C"/>
    <w:rsid w:val="00211A09"/>
    <w:rsid w:val="00216543"/>
    <w:rsid w:val="0022122F"/>
    <w:rsid w:val="00222D71"/>
    <w:rsid w:val="00230098"/>
    <w:rsid w:val="00232201"/>
    <w:rsid w:val="00233C3D"/>
    <w:rsid w:val="002344E7"/>
    <w:rsid w:val="00235EA1"/>
    <w:rsid w:val="002368D1"/>
    <w:rsid w:val="00240E33"/>
    <w:rsid w:val="002411DE"/>
    <w:rsid w:val="002433AD"/>
    <w:rsid w:val="00243B1D"/>
    <w:rsid w:val="00243FD7"/>
    <w:rsid w:val="002467B6"/>
    <w:rsid w:val="0025391A"/>
    <w:rsid w:val="00253B2E"/>
    <w:rsid w:val="002550D4"/>
    <w:rsid w:val="0025511B"/>
    <w:rsid w:val="00256414"/>
    <w:rsid w:val="00256B86"/>
    <w:rsid w:val="00256BF3"/>
    <w:rsid w:val="002577F3"/>
    <w:rsid w:val="00257DF5"/>
    <w:rsid w:val="002600FC"/>
    <w:rsid w:val="00262CC9"/>
    <w:rsid w:val="0026460C"/>
    <w:rsid w:val="00273BA0"/>
    <w:rsid w:val="002828BF"/>
    <w:rsid w:val="0028325B"/>
    <w:rsid w:val="00290179"/>
    <w:rsid w:val="002908F2"/>
    <w:rsid w:val="002927DF"/>
    <w:rsid w:val="0029295A"/>
    <w:rsid w:val="00292BC5"/>
    <w:rsid w:val="0029348D"/>
    <w:rsid w:val="002952C1"/>
    <w:rsid w:val="002966CD"/>
    <w:rsid w:val="00297951"/>
    <w:rsid w:val="002A237E"/>
    <w:rsid w:val="002A2758"/>
    <w:rsid w:val="002A2C80"/>
    <w:rsid w:val="002B0056"/>
    <w:rsid w:val="002B0FC8"/>
    <w:rsid w:val="002B58F2"/>
    <w:rsid w:val="002B6591"/>
    <w:rsid w:val="002C1A21"/>
    <w:rsid w:val="002C64B9"/>
    <w:rsid w:val="002D1DC7"/>
    <w:rsid w:val="002D429B"/>
    <w:rsid w:val="002E0ED4"/>
    <w:rsid w:val="002E416B"/>
    <w:rsid w:val="002E4766"/>
    <w:rsid w:val="002E4D30"/>
    <w:rsid w:val="002E70D6"/>
    <w:rsid w:val="002F149F"/>
    <w:rsid w:val="003041D5"/>
    <w:rsid w:val="00307692"/>
    <w:rsid w:val="0031017B"/>
    <w:rsid w:val="00313847"/>
    <w:rsid w:val="003217DC"/>
    <w:rsid w:val="00324154"/>
    <w:rsid w:val="00324390"/>
    <w:rsid w:val="00326600"/>
    <w:rsid w:val="00327133"/>
    <w:rsid w:val="00334682"/>
    <w:rsid w:val="003366AF"/>
    <w:rsid w:val="00340B0C"/>
    <w:rsid w:val="00341283"/>
    <w:rsid w:val="00345F53"/>
    <w:rsid w:val="00351945"/>
    <w:rsid w:val="003541A3"/>
    <w:rsid w:val="003553C9"/>
    <w:rsid w:val="00355D1A"/>
    <w:rsid w:val="003562AD"/>
    <w:rsid w:val="00356670"/>
    <w:rsid w:val="00363C86"/>
    <w:rsid w:val="00367238"/>
    <w:rsid w:val="003715B5"/>
    <w:rsid w:val="003718F7"/>
    <w:rsid w:val="00371F8A"/>
    <w:rsid w:val="003759A3"/>
    <w:rsid w:val="003775F0"/>
    <w:rsid w:val="00377E42"/>
    <w:rsid w:val="00382C40"/>
    <w:rsid w:val="00382E5F"/>
    <w:rsid w:val="00386125"/>
    <w:rsid w:val="0039039E"/>
    <w:rsid w:val="00393D59"/>
    <w:rsid w:val="003A22D2"/>
    <w:rsid w:val="003A2B50"/>
    <w:rsid w:val="003A38E0"/>
    <w:rsid w:val="003A5BC4"/>
    <w:rsid w:val="003A66AD"/>
    <w:rsid w:val="003A683B"/>
    <w:rsid w:val="003B1FD6"/>
    <w:rsid w:val="003B4BE5"/>
    <w:rsid w:val="003B6E12"/>
    <w:rsid w:val="003B70E3"/>
    <w:rsid w:val="003B7EF3"/>
    <w:rsid w:val="003C1F4F"/>
    <w:rsid w:val="003C48A7"/>
    <w:rsid w:val="003C6063"/>
    <w:rsid w:val="003D01EA"/>
    <w:rsid w:val="003D1FEC"/>
    <w:rsid w:val="003D29F9"/>
    <w:rsid w:val="003D46E3"/>
    <w:rsid w:val="003E4655"/>
    <w:rsid w:val="003E4CE0"/>
    <w:rsid w:val="003F0D4A"/>
    <w:rsid w:val="003F1575"/>
    <w:rsid w:val="003F2FEE"/>
    <w:rsid w:val="003F62BA"/>
    <w:rsid w:val="003F7904"/>
    <w:rsid w:val="00402047"/>
    <w:rsid w:val="004100D6"/>
    <w:rsid w:val="004102B1"/>
    <w:rsid w:val="004110C7"/>
    <w:rsid w:val="00411619"/>
    <w:rsid w:val="00413A30"/>
    <w:rsid w:val="004146FE"/>
    <w:rsid w:val="004156A7"/>
    <w:rsid w:val="00416B6B"/>
    <w:rsid w:val="004211C6"/>
    <w:rsid w:val="0042292D"/>
    <w:rsid w:val="00426DC8"/>
    <w:rsid w:val="00427988"/>
    <w:rsid w:val="00434C44"/>
    <w:rsid w:val="00435B57"/>
    <w:rsid w:val="00437391"/>
    <w:rsid w:val="00441E39"/>
    <w:rsid w:val="00445479"/>
    <w:rsid w:val="00446862"/>
    <w:rsid w:val="00446D4B"/>
    <w:rsid w:val="00451297"/>
    <w:rsid w:val="00452FD7"/>
    <w:rsid w:val="00453A2B"/>
    <w:rsid w:val="004550AB"/>
    <w:rsid w:val="004562B1"/>
    <w:rsid w:val="0045738C"/>
    <w:rsid w:val="004631E1"/>
    <w:rsid w:val="00464A8F"/>
    <w:rsid w:val="00465B41"/>
    <w:rsid w:val="00465C9E"/>
    <w:rsid w:val="00466F87"/>
    <w:rsid w:val="00473F08"/>
    <w:rsid w:val="0048173E"/>
    <w:rsid w:val="00481D20"/>
    <w:rsid w:val="00483389"/>
    <w:rsid w:val="004836E5"/>
    <w:rsid w:val="00483D89"/>
    <w:rsid w:val="00484A9A"/>
    <w:rsid w:val="00487E91"/>
    <w:rsid w:val="004914D9"/>
    <w:rsid w:val="00491612"/>
    <w:rsid w:val="00492383"/>
    <w:rsid w:val="00492CC1"/>
    <w:rsid w:val="004935D4"/>
    <w:rsid w:val="00494765"/>
    <w:rsid w:val="00496B29"/>
    <w:rsid w:val="004A1680"/>
    <w:rsid w:val="004A276A"/>
    <w:rsid w:val="004A3B07"/>
    <w:rsid w:val="004A50FA"/>
    <w:rsid w:val="004A5EAA"/>
    <w:rsid w:val="004B206D"/>
    <w:rsid w:val="004B2FB4"/>
    <w:rsid w:val="004B3DCC"/>
    <w:rsid w:val="004B473A"/>
    <w:rsid w:val="004B674C"/>
    <w:rsid w:val="004B6F8A"/>
    <w:rsid w:val="004C5920"/>
    <w:rsid w:val="004C77BD"/>
    <w:rsid w:val="004D3D5C"/>
    <w:rsid w:val="004E0B91"/>
    <w:rsid w:val="004E10D0"/>
    <w:rsid w:val="004E1CBF"/>
    <w:rsid w:val="004E2D48"/>
    <w:rsid w:val="004E6FC9"/>
    <w:rsid w:val="004F3F30"/>
    <w:rsid w:val="004F40F3"/>
    <w:rsid w:val="004F44DF"/>
    <w:rsid w:val="004F4A51"/>
    <w:rsid w:val="004F4E2C"/>
    <w:rsid w:val="004F5032"/>
    <w:rsid w:val="004F7DFA"/>
    <w:rsid w:val="0050038E"/>
    <w:rsid w:val="00502C40"/>
    <w:rsid w:val="005046C1"/>
    <w:rsid w:val="00505718"/>
    <w:rsid w:val="00510002"/>
    <w:rsid w:val="00510C60"/>
    <w:rsid w:val="00510E22"/>
    <w:rsid w:val="0051678D"/>
    <w:rsid w:val="00522D0F"/>
    <w:rsid w:val="0052439A"/>
    <w:rsid w:val="00524824"/>
    <w:rsid w:val="005300C5"/>
    <w:rsid w:val="00531173"/>
    <w:rsid w:val="00531969"/>
    <w:rsid w:val="005329E7"/>
    <w:rsid w:val="005335A2"/>
    <w:rsid w:val="00535632"/>
    <w:rsid w:val="005358EC"/>
    <w:rsid w:val="005373C1"/>
    <w:rsid w:val="00537A99"/>
    <w:rsid w:val="00537B17"/>
    <w:rsid w:val="00537C0B"/>
    <w:rsid w:val="0054197E"/>
    <w:rsid w:val="005469A1"/>
    <w:rsid w:val="00547FBE"/>
    <w:rsid w:val="0055047F"/>
    <w:rsid w:val="00553241"/>
    <w:rsid w:val="00556ACD"/>
    <w:rsid w:val="00560F8D"/>
    <w:rsid w:val="005620A7"/>
    <w:rsid w:val="0056627D"/>
    <w:rsid w:val="005668A7"/>
    <w:rsid w:val="00566AB5"/>
    <w:rsid w:val="00572AEA"/>
    <w:rsid w:val="005749E2"/>
    <w:rsid w:val="00576067"/>
    <w:rsid w:val="00577FD9"/>
    <w:rsid w:val="00580316"/>
    <w:rsid w:val="00580FF4"/>
    <w:rsid w:val="005816E6"/>
    <w:rsid w:val="0058172B"/>
    <w:rsid w:val="00583809"/>
    <w:rsid w:val="00587FA2"/>
    <w:rsid w:val="00590CF9"/>
    <w:rsid w:val="00591EAF"/>
    <w:rsid w:val="00594276"/>
    <w:rsid w:val="005969AF"/>
    <w:rsid w:val="00596F96"/>
    <w:rsid w:val="00597D41"/>
    <w:rsid w:val="005A0DCA"/>
    <w:rsid w:val="005A238F"/>
    <w:rsid w:val="005A51E6"/>
    <w:rsid w:val="005B75CA"/>
    <w:rsid w:val="005C47D4"/>
    <w:rsid w:val="005D0169"/>
    <w:rsid w:val="005D12C0"/>
    <w:rsid w:val="005D13D7"/>
    <w:rsid w:val="005D2FFA"/>
    <w:rsid w:val="005D3BF1"/>
    <w:rsid w:val="005D4573"/>
    <w:rsid w:val="005D5712"/>
    <w:rsid w:val="005D58D2"/>
    <w:rsid w:val="005D5E21"/>
    <w:rsid w:val="005D6589"/>
    <w:rsid w:val="005D74A3"/>
    <w:rsid w:val="005E1A2C"/>
    <w:rsid w:val="005E2377"/>
    <w:rsid w:val="005E2C38"/>
    <w:rsid w:val="005E36A0"/>
    <w:rsid w:val="005E4B0C"/>
    <w:rsid w:val="005E4ED6"/>
    <w:rsid w:val="005E75A3"/>
    <w:rsid w:val="005F1B97"/>
    <w:rsid w:val="0060001C"/>
    <w:rsid w:val="0060079A"/>
    <w:rsid w:val="0060381F"/>
    <w:rsid w:val="00603B82"/>
    <w:rsid w:val="006111BB"/>
    <w:rsid w:val="006134BF"/>
    <w:rsid w:val="006151DB"/>
    <w:rsid w:val="00616D66"/>
    <w:rsid w:val="0061712E"/>
    <w:rsid w:val="00617DB2"/>
    <w:rsid w:val="00620FC0"/>
    <w:rsid w:val="00621A61"/>
    <w:rsid w:val="0062225C"/>
    <w:rsid w:val="00624521"/>
    <w:rsid w:val="006251CC"/>
    <w:rsid w:val="00636C8D"/>
    <w:rsid w:val="00640646"/>
    <w:rsid w:val="00643650"/>
    <w:rsid w:val="00646954"/>
    <w:rsid w:val="00647B6F"/>
    <w:rsid w:val="00654557"/>
    <w:rsid w:val="0065565F"/>
    <w:rsid w:val="006604B1"/>
    <w:rsid w:val="00662888"/>
    <w:rsid w:val="00665A11"/>
    <w:rsid w:val="00665BDE"/>
    <w:rsid w:val="00665C0C"/>
    <w:rsid w:val="00667D11"/>
    <w:rsid w:val="006735AD"/>
    <w:rsid w:val="00674A36"/>
    <w:rsid w:val="00675BA1"/>
    <w:rsid w:val="00677403"/>
    <w:rsid w:val="006777EE"/>
    <w:rsid w:val="00680D39"/>
    <w:rsid w:val="00681782"/>
    <w:rsid w:val="00681DA0"/>
    <w:rsid w:val="00682309"/>
    <w:rsid w:val="00682A51"/>
    <w:rsid w:val="00685387"/>
    <w:rsid w:val="00686015"/>
    <w:rsid w:val="00686718"/>
    <w:rsid w:val="0068750A"/>
    <w:rsid w:val="006901AA"/>
    <w:rsid w:val="0069201D"/>
    <w:rsid w:val="00692AF3"/>
    <w:rsid w:val="006968DA"/>
    <w:rsid w:val="00696A0D"/>
    <w:rsid w:val="00697579"/>
    <w:rsid w:val="00697907"/>
    <w:rsid w:val="006979D9"/>
    <w:rsid w:val="006A1D4B"/>
    <w:rsid w:val="006A3179"/>
    <w:rsid w:val="006B3AFF"/>
    <w:rsid w:val="006C1EF7"/>
    <w:rsid w:val="006C32F1"/>
    <w:rsid w:val="006C49BE"/>
    <w:rsid w:val="006C4D1C"/>
    <w:rsid w:val="006C6EC9"/>
    <w:rsid w:val="006D1767"/>
    <w:rsid w:val="006D1A68"/>
    <w:rsid w:val="006D1F66"/>
    <w:rsid w:val="006D6536"/>
    <w:rsid w:val="006D72C5"/>
    <w:rsid w:val="006E1D78"/>
    <w:rsid w:val="006E3499"/>
    <w:rsid w:val="006E6603"/>
    <w:rsid w:val="006F1F36"/>
    <w:rsid w:val="006F40C4"/>
    <w:rsid w:val="006F4503"/>
    <w:rsid w:val="006F5E59"/>
    <w:rsid w:val="007042FC"/>
    <w:rsid w:val="00705952"/>
    <w:rsid w:val="00710628"/>
    <w:rsid w:val="00715494"/>
    <w:rsid w:val="0071595B"/>
    <w:rsid w:val="00715DA0"/>
    <w:rsid w:val="00720C05"/>
    <w:rsid w:val="00721B4F"/>
    <w:rsid w:val="00721D44"/>
    <w:rsid w:val="00722106"/>
    <w:rsid w:val="007272BD"/>
    <w:rsid w:val="0073314E"/>
    <w:rsid w:val="00734084"/>
    <w:rsid w:val="00735D59"/>
    <w:rsid w:val="0073739D"/>
    <w:rsid w:val="0074405A"/>
    <w:rsid w:val="007447DE"/>
    <w:rsid w:val="0074671C"/>
    <w:rsid w:val="00746932"/>
    <w:rsid w:val="00751CEC"/>
    <w:rsid w:val="0075230D"/>
    <w:rsid w:val="00753AF9"/>
    <w:rsid w:val="0075784C"/>
    <w:rsid w:val="00765665"/>
    <w:rsid w:val="00765D18"/>
    <w:rsid w:val="00776CB3"/>
    <w:rsid w:val="00781A28"/>
    <w:rsid w:val="00793BF9"/>
    <w:rsid w:val="00794931"/>
    <w:rsid w:val="00794C26"/>
    <w:rsid w:val="007958AB"/>
    <w:rsid w:val="0079712F"/>
    <w:rsid w:val="007A5773"/>
    <w:rsid w:val="007A6844"/>
    <w:rsid w:val="007A6EAF"/>
    <w:rsid w:val="007B005B"/>
    <w:rsid w:val="007B1777"/>
    <w:rsid w:val="007B1F78"/>
    <w:rsid w:val="007B39D0"/>
    <w:rsid w:val="007B525C"/>
    <w:rsid w:val="007B58F7"/>
    <w:rsid w:val="007B765C"/>
    <w:rsid w:val="007C0DC9"/>
    <w:rsid w:val="007C33C0"/>
    <w:rsid w:val="007C528A"/>
    <w:rsid w:val="007C57FC"/>
    <w:rsid w:val="007C5E82"/>
    <w:rsid w:val="007C5FC2"/>
    <w:rsid w:val="007C6241"/>
    <w:rsid w:val="007C6DAA"/>
    <w:rsid w:val="007D1A68"/>
    <w:rsid w:val="007D3194"/>
    <w:rsid w:val="007D3F5B"/>
    <w:rsid w:val="007D7566"/>
    <w:rsid w:val="007E2F5A"/>
    <w:rsid w:val="007E7661"/>
    <w:rsid w:val="007F0B3C"/>
    <w:rsid w:val="007F133E"/>
    <w:rsid w:val="007F2D9F"/>
    <w:rsid w:val="00807EBA"/>
    <w:rsid w:val="00811420"/>
    <w:rsid w:val="008126A6"/>
    <w:rsid w:val="00813381"/>
    <w:rsid w:val="00817913"/>
    <w:rsid w:val="00817B92"/>
    <w:rsid w:val="00820726"/>
    <w:rsid w:val="00830DAF"/>
    <w:rsid w:val="00831503"/>
    <w:rsid w:val="0083452E"/>
    <w:rsid w:val="0083553D"/>
    <w:rsid w:val="00837C17"/>
    <w:rsid w:val="00840108"/>
    <w:rsid w:val="00840930"/>
    <w:rsid w:val="00843D0B"/>
    <w:rsid w:val="008613A5"/>
    <w:rsid w:val="00866195"/>
    <w:rsid w:val="008668DB"/>
    <w:rsid w:val="00867214"/>
    <w:rsid w:val="008704BA"/>
    <w:rsid w:val="00872ABC"/>
    <w:rsid w:val="0087358C"/>
    <w:rsid w:val="00876543"/>
    <w:rsid w:val="00876F24"/>
    <w:rsid w:val="00882E7F"/>
    <w:rsid w:val="00883432"/>
    <w:rsid w:val="00883C3D"/>
    <w:rsid w:val="00884460"/>
    <w:rsid w:val="00886EB6"/>
    <w:rsid w:val="008873F8"/>
    <w:rsid w:val="008903A6"/>
    <w:rsid w:val="00892997"/>
    <w:rsid w:val="00894050"/>
    <w:rsid w:val="00894F2C"/>
    <w:rsid w:val="00895813"/>
    <w:rsid w:val="008978A0"/>
    <w:rsid w:val="00897E58"/>
    <w:rsid w:val="008A02EC"/>
    <w:rsid w:val="008A0446"/>
    <w:rsid w:val="008A30D5"/>
    <w:rsid w:val="008A3AC6"/>
    <w:rsid w:val="008B5EB6"/>
    <w:rsid w:val="008B7832"/>
    <w:rsid w:val="008C0749"/>
    <w:rsid w:val="008C1214"/>
    <w:rsid w:val="008C242B"/>
    <w:rsid w:val="008C3D8C"/>
    <w:rsid w:val="008C5223"/>
    <w:rsid w:val="008C6C25"/>
    <w:rsid w:val="008D12C0"/>
    <w:rsid w:val="008D19A1"/>
    <w:rsid w:val="008D245F"/>
    <w:rsid w:val="008D2B17"/>
    <w:rsid w:val="008D458F"/>
    <w:rsid w:val="008D5D87"/>
    <w:rsid w:val="008D5DB3"/>
    <w:rsid w:val="008D66EB"/>
    <w:rsid w:val="008E1245"/>
    <w:rsid w:val="008E64BA"/>
    <w:rsid w:val="008E68AC"/>
    <w:rsid w:val="008E6EC0"/>
    <w:rsid w:val="008F0CD3"/>
    <w:rsid w:val="008F3077"/>
    <w:rsid w:val="008F3460"/>
    <w:rsid w:val="008F65F5"/>
    <w:rsid w:val="008F7750"/>
    <w:rsid w:val="00901D47"/>
    <w:rsid w:val="0090223D"/>
    <w:rsid w:val="009049BF"/>
    <w:rsid w:val="00907175"/>
    <w:rsid w:val="00912C50"/>
    <w:rsid w:val="0091436E"/>
    <w:rsid w:val="00914D73"/>
    <w:rsid w:val="00914EE9"/>
    <w:rsid w:val="00915B43"/>
    <w:rsid w:val="00915D69"/>
    <w:rsid w:val="00915FB5"/>
    <w:rsid w:val="00921CB0"/>
    <w:rsid w:val="009242DC"/>
    <w:rsid w:val="009246BF"/>
    <w:rsid w:val="00931F86"/>
    <w:rsid w:val="0093352C"/>
    <w:rsid w:val="009336DE"/>
    <w:rsid w:val="0093660E"/>
    <w:rsid w:val="00936C6D"/>
    <w:rsid w:val="00940808"/>
    <w:rsid w:val="00940905"/>
    <w:rsid w:val="00942D43"/>
    <w:rsid w:val="00945B5A"/>
    <w:rsid w:val="00945FE1"/>
    <w:rsid w:val="009511A9"/>
    <w:rsid w:val="009519FA"/>
    <w:rsid w:val="009549AA"/>
    <w:rsid w:val="00964075"/>
    <w:rsid w:val="009645BD"/>
    <w:rsid w:val="009676BC"/>
    <w:rsid w:val="00970731"/>
    <w:rsid w:val="009720A0"/>
    <w:rsid w:val="00973AAF"/>
    <w:rsid w:val="00973E31"/>
    <w:rsid w:val="00973F07"/>
    <w:rsid w:val="00980BAF"/>
    <w:rsid w:val="009871F9"/>
    <w:rsid w:val="00995CA8"/>
    <w:rsid w:val="009A4994"/>
    <w:rsid w:val="009A5071"/>
    <w:rsid w:val="009A5C37"/>
    <w:rsid w:val="009A6551"/>
    <w:rsid w:val="009A6BF3"/>
    <w:rsid w:val="009B30CC"/>
    <w:rsid w:val="009B3A80"/>
    <w:rsid w:val="009B42A9"/>
    <w:rsid w:val="009B5DD4"/>
    <w:rsid w:val="009B680F"/>
    <w:rsid w:val="009C06EB"/>
    <w:rsid w:val="009C3112"/>
    <w:rsid w:val="009C341B"/>
    <w:rsid w:val="009C4B91"/>
    <w:rsid w:val="009D3F0E"/>
    <w:rsid w:val="009D4DF7"/>
    <w:rsid w:val="009E09DE"/>
    <w:rsid w:val="009E3887"/>
    <w:rsid w:val="009E3B79"/>
    <w:rsid w:val="009E5521"/>
    <w:rsid w:val="009E614D"/>
    <w:rsid w:val="009E6ADB"/>
    <w:rsid w:val="009F096E"/>
    <w:rsid w:val="009F0B91"/>
    <w:rsid w:val="009F28D2"/>
    <w:rsid w:val="009F6D24"/>
    <w:rsid w:val="009F74D1"/>
    <w:rsid w:val="00A010D7"/>
    <w:rsid w:val="00A027FC"/>
    <w:rsid w:val="00A02D30"/>
    <w:rsid w:val="00A03075"/>
    <w:rsid w:val="00A03EFF"/>
    <w:rsid w:val="00A05439"/>
    <w:rsid w:val="00A0766D"/>
    <w:rsid w:val="00A14356"/>
    <w:rsid w:val="00A15BAD"/>
    <w:rsid w:val="00A17294"/>
    <w:rsid w:val="00A17E14"/>
    <w:rsid w:val="00A221B7"/>
    <w:rsid w:val="00A26D4F"/>
    <w:rsid w:val="00A3366C"/>
    <w:rsid w:val="00A36DE8"/>
    <w:rsid w:val="00A377C1"/>
    <w:rsid w:val="00A37AA4"/>
    <w:rsid w:val="00A412B1"/>
    <w:rsid w:val="00A424CB"/>
    <w:rsid w:val="00A4430F"/>
    <w:rsid w:val="00A44F49"/>
    <w:rsid w:val="00A46A29"/>
    <w:rsid w:val="00A55D09"/>
    <w:rsid w:val="00A56630"/>
    <w:rsid w:val="00A57960"/>
    <w:rsid w:val="00A61BDB"/>
    <w:rsid w:val="00A6350F"/>
    <w:rsid w:val="00A66333"/>
    <w:rsid w:val="00A811A4"/>
    <w:rsid w:val="00A82DC8"/>
    <w:rsid w:val="00A83E8A"/>
    <w:rsid w:val="00A84ECB"/>
    <w:rsid w:val="00A8595D"/>
    <w:rsid w:val="00A87B79"/>
    <w:rsid w:val="00A90468"/>
    <w:rsid w:val="00A906FE"/>
    <w:rsid w:val="00A930BE"/>
    <w:rsid w:val="00A95082"/>
    <w:rsid w:val="00A9517B"/>
    <w:rsid w:val="00AA2B91"/>
    <w:rsid w:val="00AA532B"/>
    <w:rsid w:val="00AB0D00"/>
    <w:rsid w:val="00AB1939"/>
    <w:rsid w:val="00AB20E7"/>
    <w:rsid w:val="00AB5672"/>
    <w:rsid w:val="00AB7562"/>
    <w:rsid w:val="00AC10E0"/>
    <w:rsid w:val="00AC5282"/>
    <w:rsid w:val="00AC6A30"/>
    <w:rsid w:val="00AD46BE"/>
    <w:rsid w:val="00AD4EBB"/>
    <w:rsid w:val="00AD5200"/>
    <w:rsid w:val="00AD5C8C"/>
    <w:rsid w:val="00AD68F1"/>
    <w:rsid w:val="00AD7BEF"/>
    <w:rsid w:val="00AE4DAA"/>
    <w:rsid w:val="00AF1D03"/>
    <w:rsid w:val="00AF2137"/>
    <w:rsid w:val="00AF31AF"/>
    <w:rsid w:val="00AF3E87"/>
    <w:rsid w:val="00AF7857"/>
    <w:rsid w:val="00B001D9"/>
    <w:rsid w:val="00B0577D"/>
    <w:rsid w:val="00B065AF"/>
    <w:rsid w:val="00B06BA6"/>
    <w:rsid w:val="00B16B1E"/>
    <w:rsid w:val="00B16D63"/>
    <w:rsid w:val="00B170B2"/>
    <w:rsid w:val="00B2192E"/>
    <w:rsid w:val="00B2250E"/>
    <w:rsid w:val="00B24CB4"/>
    <w:rsid w:val="00B27399"/>
    <w:rsid w:val="00B30F3C"/>
    <w:rsid w:val="00B372C0"/>
    <w:rsid w:val="00B43B73"/>
    <w:rsid w:val="00B477B1"/>
    <w:rsid w:val="00B50612"/>
    <w:rsid w:val="00B52717"/>
    <w:rsid w:val="00B527A4"/>
    <w:rsid w:val="00B53F5F"/>
    <w:rsid w:val="00B54C41"/>
    <w:rsid w:val="00B552A0"/>
    <w:rsid w:val="00B55DA5"/>
    <w:rsid w:val="00B61712"/>
    <w:rsid w:val="00B65D40"/>
    <w:rsid w:val="00B70407"/>
    <w:rsid w:val="00B711AD"/>
    <w:rsid w:val="00B72E45"/>
    <w:rsid w:val="00B732E2"/>
    <w:rsid w:val="00B81DBA"/>
    <w:rsid w:val="00B82609"/>
    <w:rsid w:val="00B850E9"/>
    <w:rsid w:val="00B86FE2"/>
    <w:rsid w:val="00B903EF"/>
    <w:rsid w:val="00B968B6"/>
    <w:rsid w:val="00B970EB"/>
    <w:rsid w:val="00B976CC"/>
    <w:rsid w:val="00BA054D"/>
    <w:rsid w:val="00BA0A5C"/>
    <w:rsid w:val="00BA5AA7"/>
    <w:rsid w:val="00BB386A"/>
    <w:rsid w:val="00BB74E2"/>
    <w:rsid w:val="00BC2268"/>
    <w:rsid w:val="00BC261E"/>
    <w:rsid w:val="00BC4A14"/>
    <w:rsid w:val="00BC4F84"/>
    <w:rsid w:val="00BC668C"/>
    <w:rsid w:val="00BD5819"/>
    <w:rsid w:val="00BE0668"/>
    <w:rsid w:val="00BE075A"/>
    <w:rsid w:val="00BE33C2"/>
    <w:rsid w:val="00BE33FA"/>
    <w:rsid w:val="00BE3C39"/>
    <w:rsid w:val="00BE409F"/>
    <w:rsid w:val="00BE4D14"/>
    <w:rsid w:val="00BE5A00"/>
    <w:rsid w:val="00BE5B26"/>
    <w:rsid w:val="00BE625F"/>
    <w:rsid w:val="00BF24CE"/>
    <w:rsid w:val="00BF4A2E"/>
    <w:rsid w:val="00BF5EB7"/>
    <w:rsid w:val="00BF7CE3"/>
    <w:rsid w:val="00C0125B"/>
    <w:rsid w:val="00C028B1"/>
    <w:rsid w:val="00C04271"/>
    <w:rsid w:val="00C04EAA"/>
    <w:rsid w:val="00C05BFB"/>
    <w:rsid w:val="00C12249"/>
    <w:rsid w:val="00C12405"/>
    <w:rsid w:val="00C157DD"/>
    <w:rsid w:val="00C21DE6"/>
    <w:rsid w:val="00C2399E"/>
    <w:rsid w:val="00C3056E"/>
    <w:rsid w:val="00C3478B"/>
    <w:rsid w:val="00C34FB4"/>
    <w:rsid w:val="00C419E2"/>
    <w:rsid w:val="00C54ED0"/>
    <w:rsid w:val="00C54FCA"/>
    <w:rsid w:val="00C566CA"/>
    <w:rsid w:val="00C61DDE"/>
    <w:rsid w:val="00C65068"/>
    <w:rsid w:val="00C677A1"/>
    <w:rsid w:val="00C67EC2"/>
    <w:rsid w:val="00C710F2"/>
    <w:rsid w:val="00C71668"/>
    <w:rsid w:val="00C745E7"/>
    <w:rsid w:val="00C80609"/>
    <w:rsid w:val="00C8094B"/>
    <w:rsid w:val="00C80CEE"/>
    <w:rsid w:val="00C80F82"/>
    <w:rsid w:val="00C81E21"/>
    <w:rsid w:val="00C84E7F"/>
    <w:rsid w:val="00C8677A"/>
    <w:rsid w:val="00C902D4"/>
    <w:rsid w:val="00C9164A"/>
    <w:rsid w:val="00C917B1"/>
    <w:rsid w:val="00C9287F"/>
    <w:rsid w:val="00C93BDE"/>
    <w:rsid w:val="00C95FB3"/>
    <w:rsid w:val="00C96182"/>
    <w:rsid w:val="00C96787"/>
    <w:rsid w:val="00CA0113"/>
    <w:rsid w:val="00CB0FA2"/>
    <w:rsid w:val="00CB2605"/>
    <w:rsid w:val="00CC038D"/>
    <w:rsid w:val="00CC1BE3"/>
    <w:rsid w:val="00CC6657"/>
    <w:rsid w:val="00CD02FA"/>
    <w:rsid w:val="00CD0ADC"/>
    <w:rsid w:val="00CD1793"/>
    <w:rsid w:val="00CD6A12"/>
    <w:rsid w:val="00CD7811"/>
    <w:rsid w:val="00CE1AEE"/>
    <w:rsid w:val="00CE1C0A"/>
    <w:rsid w:val="00CE2B94"/>
    <w:rsid w:val="00CE32AF"/>
    <w:rsid w:val="00CE3812"/>
    <w:rsid w:val="00CE43F5"/>
    <w:rsid w:val="00CE7B7A"/>
    <w:rsid w:val="00CF2512"/>
    <w:rsid w:val="00CF437F"/>
    <w:rsid w:val="00CF4556"/>
    <w:rsid w:val="00CF4A17"/>
    <w:rsid w:val="00CF6039"/>
    <w:rsid w:val="00D03A17"/>
    <w:rsid w:val="00D05B7D"/>
    <w:rsid w:val="00D07542"/>
    <w:rsid w:val="00D120AB"/>
    <w:rsid w:val="00D16FA8"/>
    <w:rsid w:val="00D16FC0"/>
    <w:rsid w:val="00D22050"/>
    <w:rsid w:val="00D22A9E"/>
    <w:rsid w:val="00D263C5"/>
    <w:rsid w:val="00D30669"/>
    <w:rsid w:val="00D36D94"/>
    <w:rsid w:val="00D408C7"/>
    <w:rsid w:val="00D4462C"/>
    <w:rsid w:val="00D44DEF"/>
    <w:rsid w:val="00D44E34"/>
    <w:rsid w:val="00D503AB"/>
    <w:rsid w:val="00D51B0A"/>
    <w:rsid w:val="00D51F19"/>
    <w:rsid w:val="00D52780"/>
    <w:rsid w:val="00D52F17"/>
    <w:rsid w:val="00D57270"/>
    <w:rsid w:val="00D609F5"/>
    <w:rsid w:val="00D614E3"/>
    <w:rsid w:val="00D63DD9"/>
    <w:rsid w:val="00D64209"/>
    <w:rsid w:val="00D65A6D"/>
    <w:rsid w:val="00D702A1"/>
    <w:rsid w:val="00D74946"/>
    <w:rsid w:val="00D8183E"/>
    <w:rsid w:val="00D823B1"/>
    <w:rsid w:val="00D843CE"/>
    <w:rsid w:val="00D85EEC"/>
    <w:rsid w:val="00D862BE"/>
    <w:rsid w:val="00D90D1E"/>
    <w:rsid w:val="00D926A2"/>
    <w:rsid w:val="00D96A01"/>
    <w:rsid w:val="00D978DF"/>
    <w:rsid w:val="00DA103C"/>
    <w:rsid w:val="00DA3E09"/>
    <w:rsid w:val="00DA4590"/>
    <w:rsid w:val="00DA5DCC"/>
    <w:rsid w:val="00DB1B3E"/>
    <w:rsid w:val="00DB3EC9"/>
    <w:rsid w:val="00DB5097"/>
    <w:rsid w:val="00DB7D7A"/>
    <w:rsid w:val="00DC369A"/>
    <w:rsid w:val="00DC50FF"/>
    <w:rsid w:val="00DC7289"/>
    <w:rsid w:val="00DD065B"/>
    <w:rsid w:val="00DD45D2"/>
    <w:rsid w:val="00DD5D55"/>
    <w:rsid w:val="00DD6A4E"/>
    <w:rsid w:val="00DE22D6"/>
    <w:rsid w:val="00DE3137"/>
    <w:rsid w:val="00DE5926"/>
    <w:rsid w:val="00DF2DE6"/>
    <w:rsid w:val="00E101D8"/>
    <w:rsid w:val="00E12D7F"/>
    <w:rsid w:val="00E1308A"/>
    <w:rsid w:val="00E14130"/>
    <w:rsid w:val="00E16C9D"/>
    <w:rsid w:val="00E20744"/>
    <w:rsid w:val="00E22446"/>
    <w:rsid w:val="00E251D3"/>
    <w:rsid w:val="00E2525F"/>
    <w:rsid w:val="00E253F2"/>
    <w:rsid w:val="00E2582E"/>
    <w:rsid w:val="00E25873"/>
    <w:rsid w:val="00E26310"/>
    <w:rsid w:val="00E30D33"/>
    <w:rsid w:val="00E32D8A"/>
    <w:rsid w:val="00E343CC"/>
    <w:rsid w:val="00E353AB"/>
    <w:rsid w:val="00E359FB"/>
    <w:rsid w:val="00E35EFD"/>
    <w:rsid w:val="00E41E7B"/>
    <w:rsid w:val="00E43A5F"/>
    <w:rsid w:val="00E44B12"/>
    <w:rsid w:val="00E45ACF"/>
    <w:rsid w:val="00E465C5"/>
    <w:rsid w:val="00E4779A"/>
    <w:rsid w:val="00E5007A"/>
    <w:rsid w:val="00E5059D"/>
    <w:rsid w:val="00E521A4"/>
    <w:rsid w:val="00E5256A"/>
    <w:rsid w:val="00E52E18"/>
    <w:rsid w:val="00E57B58"/>
    <w:rsid w:val="00E57D11"/>
    <w:rsid w:val="00E65C0C"/>
    <w:rsid w:val="00E71A99"/>
    <w:rsid w:val="00E72157"/>
    <w:rsid w:val="00E72393"/>
    <w:rsid w:val="00E72FD2"/>
    <w:rsid w:val="00E80729"/>
    <w:rsid w:val="00E81AE1"/>
    <w:rsid w:val="00E86714"/>
    <w:rsid w:val="00E91C36"/>
    <w:rsid w:val="00E92D4A"/>
    <w:rsid w:val="00E940AB"/>
    <w:rsid w:val="00E96D08"/>
    <w:rsid w:val="00EA13D7"/>
    <w:rsid w:val="00EB162C"/>
    <w:rsid w:val="00EB1F66"/>
    <w:rsid w:val="00EB58CA"/>
    <w:rsid w:val="00EB6CB6"/>
    <w:rsid w:val="00EC033F"/>
    <w:rsid w:val="00EC1746"/>
    <w:rsid w:val="00EC1866"/>
    <w:rsid w:val="00EC5B0A"/>
    <w:rsid w:val="00ED0EB4"/>
    <w:rsid w:val="00ED2EAE"/>
    <w:rsid w:val="00ED3066"/>
    <w:rsid w:val="00ED3B1C"/>
    <w:rsid w:val="00ED569A"/>
    <w:rsid w:val="00ED5B41"/>
    <w:rsid w:val="00ED6264"/>
    <w:rsid w:val="00EE047B"/>
    <w:rsid w:val="00EE25CA"/>
    <w:rsid w:val="00EE43F8"/>
    <w:rsid w:val="00EF0138"/>
    <w:rsid w:val="00EF17C5"/>
    <w:rsid w:val="00EF4513"/>
    <w:rsid w:val="00EF65CD"/>
    <w:rsid w:val="00EF730F"/>
    <w:rsid w:val="00EF7798"/>
    <w:rsid w:val="00F02726"/>
    <w:rsid w:val="00F1092B"/>
    <w:rsid w:val="00F12B56"/>
    <w:rsid w:val="00F14D0E"/>
    <w:rsid w:val="00F16461"/>
    <w:rsid w:val="00F16B49"/>
    <w:rsid w:val="00F24A8B"/>
    <w:rsid w:val="00F30059"/>
    <w:rsid w:val="00F33F31"/>
    <w:rsid w:val="00F3562B"/>
    <w:rsid w:val="00F35893"/>
    <w:rsid w:val="00F359F5"/>
    <w:rsid w:val="00F37B13"/>
    <w:rsid w:val="00F419FA"/>
    <w:rsid w:val="00F41CBE"/>
    <w:rsid w:val="00F41E33"/>
    <w:rsid w:val="00F422B4"/>
    <w:rsid w:val="00F43344"/>
    <w:rsid w:val="00F438D8"/>
    <w:rsid w:val="00F43A94"/>
    <w:rsid w:val="00F44784"/>
    <w:rsid w:val="00F45AE2"/>
    <w:rsid w:val="00F46FDB"/>
    <w:rsid w:val="00F47EFB"/>
    <w:rsid w:val="00F506C8"/>
    <w:rsid w:val="00F5262E"/>
    <w:rsid w:val="00F53D3D"/>
    <w:rsid w:val="00F56CE2"/>
    <w:rsid w:val="00F578D2"/>
    <w:rsid w:val="00F61B54"/>
    <w:rsid w:val="00F65BEA"/>
    <w:rsid w:val="00F67006"/>
    <w:rsid w:val="00F73321"/>
    <w:rsid w:val="00F73D53"/>
    <w:rsid w:val="00F77828"/>
    <w:rsid w:val="00F80379"/>
    <w:rsid w:val="00F8112C"/>
    <w:rsid w:val="00F8273B"/>
    <w:rsid w:val="00F853F1"/>
    <w:rsid w:val="00F9319B"/>
    <w:rsid w:val="00F93F87"/>
    <w:rsid w:val="00F94436"/>
    <w:rsid w:val="00FA00C2"/>
    <w:rsid w:val="00FA0233"/>
    <w:rsid w:val="00FA4DAC"/>
    <w:rsid w:val="00FA5F41"/>
    <w:rsid w:val="00FA6C2C"/>
    <w:rsid w:val="00FB0A88"/>
    <w:rsid w:val="00FB0B0D"/>
    <w:rsid w:val="00FB1758"/>
    <w:rsid w:val="00FB3F30"/>
    <w:rsid w:val="00FB6F57"/>
    <w:rsid w:val="00FC1779"/>
    <w:rsid w:val="00FC408C"/>
    <w:rsid w:val="00FC67AF"/>
    <w:rsid w:val="00FD1380"/>
    <w:rsid w:val="00FD4B7A"/>
    <w:rsid w:val="00FD63DD"/>
    <w:rsid w:val="00FD6F7E"/>
    <w:rsid w:val="00FD77EA"/>
    <w:rsid w:val="00FE1E8F"/>
    <w:rsid w:val="00FE40DA"/>
    <w:rsid w:val="00FE70EB"/>
    <w:rsid w:val="00FF3A83"/>
    <w:rsid w:val="00FF46C4"/>
    <w:rsid w:val="00FF485C"/>
    <w:rsid w:val="00FF5458"/>
    <w:rsid w:val="00FF59FD"/>
    <w:rsid w:val="10F71AB9"/>
    <w:rsid w:val="15D375D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CB80B1"/>
  <w15:chartTrackingRefBased/>
  <w15:docId w15:val="{ED5338D4-E320-4EF8-ABA9-1D4B4D2F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7AF"/>
    <w:pPr>
      <w:widowControl w:val="0"/>
    </w:pPr>
  </w:style>
  <w:style w:type="paragraph" w:styleId="Heading1">
    <w:name w:val="heading 1"/>
    <w:basedOn w:val="Normal"/>
    <w:next w:val="Normal"/>
    <w:link w:val="Heading1Char"/>
    <w:autoRedefine/>
    <w:uiPriority w:val="9"/>
    <w:qFormat/>
    <w:rsid w:val="00F43A94"/>
    <w:pPr>
      <w:pageBreakBefore/>
      <w:suppressAutoHyphens/>
      <w:spacing w:line="360" w:lineRule="auto"/>
      <w:contextualSpacing/>
      <w:outlineLvl w:val="0"/>
    </w:pPr>
    <w:rPr>
      <w:rFonts w:asciiTheme="majorHAnsi" w:eastAsia="Calibri" w:hAnsiTheme="majorHAnsi" w:cstheme="majorBidi"/>
      <w:b/>
      <w:bCs/>
      <w:kern w:val="52"/>
      <w:sz w:val="32"/>
      <w:szCs w:val="32"/>
    </w:rPr>
  </w:style>
  <w:style w:type="paragraph" w:styleId="Heading2">
    <w:name w:val="heading 2"/>
    <w:basedOn w:val="Normal"/>
    <w:next w:val="Normal"/>
    <w:link w:val="Heading2Char"/>
    <w:autoRedefine/>
    <w:uiPriority w:val="9"/>
    <w:unhideWhenUsed/>
    <w:qFormat/>
    <w:rsid w:val="006F1F36"/>
    <w:pPr>
      <w:keepNext/>
      <w:spacing w:line="360" w:lineRule="auto"/>
      <w:contextualSpacing/>
      <w:outlineLvl w:val="1"/>
    </w:pPr>
    <w:rPr>
      <w:rFonts w:asciiTheme="majorHAnsi" w:eastAsia="Calibri" w:hAnsiTheme="majorHAnsi" w:cstheme="majorBidi"/>
      <w:b/>
      <w:bCs/>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A29"/>
    <w:rPr>
      <w:color w:val="0563C1" w:themeColor="hyperlink"/>
      <w:u w:val="single"/>
    </w:rPr>
  </w:style>
  <w:style w:type="character" w:customStyle="1" w:styleId="UnresolvedMention">
    <w:name w:val="Unresolved Mention"/>
    <w:basedOn w:val="DefaultParagraphFont"/>
    <w:uiPriority w:val="99"/>
    <w:semiHidden/>
    <w:unhideWhenUsed/>
    <w:rsid w:val="00A46A29"/>
    <w:rPr>
      <w:color w:val="605E5C"/>
      <w:shd w:val="clear" w:color="auto" w:fill="E1DFDD"/>
    </w:rPr>
  </w:style>
  <w:style w:type="paragraph" w:styleId="ListParagraph">
    <w:name w:val="List Paragraph"/>
    <w:basedOn w:val="Normal"/>
    <w:uiPriority w:val="34"/>
    <w:qFormat/>
    <w:rsid w:val="0075784C"/>
    <w:pPr>
      <w:ind w:leftChars="200" w:left="480"/>
    </w:pPr>
    <w:rPr>
      <w:lang w:val="en"/>
    </w:rPr>
  </w:style>
  <w:style w:type="paragraph" w:styleId="Header">
    <w:name w:val="header"/>
    <w:basedOn w:val="Normal"/>
    <w:link w:val="HeaderChar"/>
    <w:uiPriority w:val="99"/>
    <w:unhideWhenUsed/>
    <w:rsid w:val="007D3F5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D3F5B"/>
    <w:rPr>
      <w:sz w:val="20"/>
      <w:szCs w:val="20"/>
    </w:rPr>
  </w:style>
  <w:style w:type="paragraph" w:styleId="Footer">
    <w:name w:val="footer"/>
    <w:basedOn w:val="Normal"/>
    <w:link w:val="FooterChar"/>
    <w:uiPriority w:val="99"/>
    <w:unhideWhenUsed/>
    <w:rsid w:val="007D3F5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D3F5B"/>
    <w:rPr>
      <w:sz w:val="20"/>
      <w:szCs w:val="20"/>
    </w:rPr>
  </w:style>
  <w:style w:type="character" w:styleId="CommentReference">
    <w:name w:val="annotation reference"/>
    <w:basedOn w:val="DefaultParagraphFont"/>
    <w:uiPriority w:val="99"/>
    <w:semiHidden/>
    <w:unhideWhenUsed/>
    <w:rsid w:val="007D3194"/>
    <w:rPr>
      <w:sz w:val="18"/>
      <w:szCs w:val="18"/>
    </w:rPr>
  </w:style>
  <w:style w:type="paragraph" w:styleId="CommentText">
    <w:name w:val="annotation text"/>
    <w:basedOn w:val="Normal"/>
    <w:link w:val="CommentTextChar"/>
    <w:uiPriority w:val="99"/>
    <w:semiHidden/>
    <w:unhideWhenUsed/>
    <w:rsid w:val="007D3194"/>
  </w:style>
  <w:style w:type="character" w:customStyle="1" w:styleId="CommentTextChar">
    <w:name w:val="Comment Text Char"/>
    <w:basedOn w:val="DefaultParagraphFont"/>
    <w:link w:val="CommentText"/>
    <w:uiPriority w:val="99"/>
    <w:semiHidden/>
    <w:rsid w:val="007D3194"/>
  </w:style>
  <w:style w:type="paragraph" w:styleId="CommentSubject">
    <w:name w:val="annotation subject"/>
    <w:basedOn w:val="CommentText"/>
    <w:next w:val="CommentText"/>
    <w:link w:val="CommentSubjectChar"/>
    <w:uiPriority w:val="99"/>
    <w:semiHidden/>
    <w:unhideWhenUsed/>
    <w:rsid w:val="007D3194"/>
    <w:rPr>
      <w:b/>
      <w:bCs/>
    </w:rPr>
  </w:style>
  <w:style w:type="character" w:customStyle="1" w:styleId="CommentSubjectChar">
    <w:name w:val="Comment Subject Char"/>
    <w:basedOn w:val="CommentTextChar"/>
    <w:link w:val="CommentSubject"/>
    <w:uiPriority w:val="99"/>
    <w:semiHidden/>
    <w:rsid w:val="007D3194"/>
    <w:rPr>
      <w:b/>
      <w:bCs/>
    </w:rPr>
  </w:style>
  <w:style w:type="paragraph" w:styleId="FootnoteText">
    <w:name w:val="footnote text"/>
    <w:basedOn w:val="Normal"/>
    <w:link w:val="FootnoteTextChar"/>
    <w:uiPriority w:val="99"/>
    <w:semiHidden/>
    <w:unhideWhenUsed/>
    <w:rsid w:val="007D3194"/>
    <w:pPr>
      <w:snapToGrid w:val="0"/>
    </w:pPr>
    <w:rPr>
      <w:sz w:val="20"/>
      <w:szCs w:val="20"/>
    </w:rPr>
  </w:style>
  <w:style w:type="character" w:customStyle="1" w:styleId="FootnoteTextChar">
    <w:name w:val="Footnote Text Char"/>
    <w:basedOn w:val="DefaultParagraphFont"/>
    <w:link w:val="FootnoteText"/>
    <w:uiPriority w:val="99"/>
    <w:semiHidden/>
    <w:rsid w:val="007D3194"/>
    <w:rPr>
      <w:sz w:val="20"/>
      <w:szCs w:val="20"/>
    </w:rPr>
  </w:style>
  <w:style w:type="character" w:styleId="FootnoteReference">
    <w:name w:val="footnote reference"/>
    <w:basedOn w:val="DefaultParagraphFont"/>
    <w:uiPriority w:val="99"/>
    <w:semiHidden/>
    <w:unhideWhenUsed/>
    <w:rsid w:val="007D3194"/>
    <w:rPr>
      <w:vertAlign w:val="superscript"/>
    </w:rPr>
  </w:style>
  <w:style w:type="paragraph" w:styleId="Date">
    <w:name w:val="Date"/>
    <w:basedOn w:val="Normal"/>
    <w:next w:val="Normal"/>
    <w:link w:val="DateChar"/>
    <w:uiPriority w:val="99"/>
    <w:semiHidden/>
    <w:unhideWhenUsed/>
    <w:rsid w:val="00F8112C"/>
    <w:pPr>
      <w:jc w:val="right"/>
    </w:pPr>
  </w:style>
  <w:style w:type="character" w:customStyle="1" w:styleId="DateChar">
    <w:name w:val="Date Char"/>
    <w:basedOn w:val="DefaultParagraphFont"/>
    <w:link w:val="Date"/>
    <w:uiPriority w:val="99"/>
    <w:semiHidden/>
    <w:rsid w:val="00F8112C"/>
  </w:style>
  <w:style w:type="character" w:customStyle="1" w:styleId="Heading1Char">
    <w:name w:val="Heading 1 Char"/>
    <w:basedOn w:val="DefaultParagraphFont"/>
    <w:link w:val="Heading1"/>
    <w:uiPriority w:val="9"/>
    <w:rsid w:val="00F43A94"/>
    <w:rPr>
      <w:rFonts w:asciiTheme="majorHAnsi" w:eastAsia="Calibri" w:hAnsiTheme="majorHAnsi" w:cstheme="majorBidi"/>
      <w:b/>
      <w:bCs/>
      <w:kern w:val="52"/>
      <w:sz w:val="32"/>
      <w:szCs w:val="32"/>
    </w:rPr>
  </w:style>
  <w:style w:type="paragraph" w:styleId="NoSpacing">
    <w:name w:val="No Spacing"/>
    <w:link w:val="NoSpacingChar"/>
    <w:uiPriority w:val="1"/>
    <w:qFormat/>
    <w:rsid w:val="00E101D8"/>
    <w:rPr>
      <w:kern w:val="0"/>
      <w:sz w:val="22"/>
    </w:rPr>
  </w:style>
  <w:style w:type="character" w:customStyle="1" w:styleId="NoSpacingChar">
    <w:name w:val="No Spacing Char"/>
    <w:basedOn w:val="DefaultParagraphFont"/>
    <w:link w:val="NoSpacing"/>
    <w:uiPriority w:val="1"/>
    <w:rsid w:val="00E101D8"/>
    <w:rPr>
      <w:kern w:val="0"/>
      <w:sz w:val="22"/>
    </w:rPr>
  </w:style>
  <w:style w:type="paragraph" w:styleId="Revision">
    <w:name w:val="Revision"/>
    <w:hidden/>
    <w:uiPriority w:val="99"/>
    <w:semiHidden/>
    <w:rsid w:val="00292BC5"/>
  </w:style>
  <w:style w:type="paragraph" w:styleId="TOCHeading">
    <w:name w:val="TOC Heading"/>
    <w:basedOn w:val="Heading1"/>
    <w:next w:val="Normal"/>
    <w:uiPriority w:val="39"/>
    <w:unhideWhenUsed/>
    <w:qFormat/>
    <w:rsid w:val="00EB58CA"/>
    <w:pPr>
      <w:keepLines/>
      <w:widowControl/>
      <w:spacing w:before="240" w:line="259" w:lineRule="auto"/>
      <w:contextualSpacing w:val="0"/>
      <w:outlineLvl w:val="9"/>
    </w:pPr>
    <w:rPr>
      <w:rFonts w:eastAsiaTheme="majorEastAsia"/>
      <w:b w:val="0"/>
      <w:bCs w:val="0"/>
      <w:color w:val="2F5496" w:themeColor="accent1" w:themeShade="BF"/>
      <w:kern w:val="0"/>
    </w:rPr>
  </w:style>
  <w:style w:type="paragraph" w:styleId="TOC2">
    <w:name w:val="toc 2"/>
    <w:basedOn w:val="Normal"/>
    <w:next w:val="Normal"/>
    <w:autoRedefine/>
    <w:uiPriority w:val="39"/>
    <w:unhideWhenUsed/>
    <w:rsid w:val="00EB58CA"/>
    <w:pPr>
      <w:widowControl/>
      <w:spacing w:after="100" w:line="259" w:lineRule="auto"/>
      <w:ind w:left="220"/>
    </w:pPr>
    <w:rPr>
      <w:rFonts w:cs="Times New Roman"/>
      <w:kern w:val="0"/>
      <w:sz w:val="22"/>
    </w:rPr>
  </w:style>
  <w:style w:type="paragraph" w:styleId="TOC1">
    <w:name w:val="toc 1"/>
    <w:basedOn w:val="Normal"/>
    <w:next w:val="Normal"/>
    <w:autoRedefine/>
    <w:uiPriority w:val="39"/>
    <w:unhideWhenUsed/>
    <w:rsid w:val="00EB58CA"/>
    <w:pPr>
      <w:widowControl/>
      <w:spacing w:after="100" w:line="259" w:lineRule="auto"/>
    </w:pPr>
    <w:rPr>
      <w:rFonts w:cs="Times New Roman"/>
      <w:kern w:val="0"/>
      <w:sz w:val="22"/>
    </w:rPr>
  </w:style>
  <w:style w:type="paragraph" w:styleId="TOC3">
    <w:name w:val="toc 3"/>
    <w:basedOn w:val="Normal"/>
    <w:next w:val="Normal"/>
    <w:autoRedefine/>
    <w:uiPriority w:val="39"/>
    <w:unhideWhenUsed/>
    <w:rsid w:val="00EB58CA"/>
    <w:pPr>
      <w:widowControl/>
      <w:spacing w:after="100" w:line="259" w:lineRule="auto"/>
      <w:ind w:left="440"/>
    </w:pPr>
    <w:rPr>
      <w:rFonts w:cs="Times New Roman"/>
      <w:kern w:val="0"/>
      <w:sz w:val="22"/>
    </w:rPr>
  </w:style>
  <w:style w:type="character" w:customStyle="1" w:styleId="Heading2Char">
    <w:name w:val="Heading 2 Char"/>
    <w:basedOn w:val="DefaultParagraphFont"/>
    <w:link w:val="Heading2"/>
    <w:uiPriority w:val="9"/>
    <w:rsid w:val="006F1F36"/>
    <w:rPr>
      <w:rFonts w:asciiTheme="majorHAnsi" w:eastAsia="Calibri" w:hAnsiTheme="majorHAnsi" w:cstheme="majorBidi"/>
      <w:b/>
      <w:bCs/>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97339">
      <w:bodyDiv w:val="1"/>
      <w:marLeft w:val="0"/>
      <w:marRight w:val="0"/>
      <w:marTop w:val="0"/>
      <w:marBottom w:val="0"/>
      <w:divBdr>
        <w:top w:val="none" w:sz="0" w:space="0" w:color="auto"/>
        <w:left w:val="none" w:sz="0" w:space="0" w:color="auto"/>
        <w:bottom w:val="none" w:sz="0" w:space="0" w:color="auto"/>
        <w:right w:val="none" w:sz="0" w:space="0" w:color="auto"/>
      </w:divBdr>
    </w:div>
    <w:div w:id="929505924">
      <w:bodyDiv w:val="1"/>
      <w:marLeft w:val="0"/>
      <w:marRight w:val="0"/>
      <w:marTop w:val="0"/>
      <w:marBottom w:val="0"/>
      <w:divBdr>
        <w:top w:val="none" w:sz="0" w:space="0" w:color="auto"/>
        <w:left w:val="none" w:sz="0" w:space="0" w:color="auto"/>
        <w:bottom w:val="none" w:sz="0" w:space="0" w:color="auto"/>
        <w:right w:val="none" w:sz="0" w:space="0" w:color="auto"/>
      </w:divBdr>
      <w:divsChild>
        <w:div w:id="343019949">
          <w:marLeft w:val="547"/>
          <w:marRight w:val="0"/>
          <w:marTop w:val="0"/>
          <w:marBottom w:val="0"/>
          <w:divBdr>
            <w:top w:val="none" w:sz="0" w:space="0" w:color="auto"/>
            <w:left w:val="none" w:sz="0" w:space="0" w:color="auto"/>
            <w:bottom w:val="none" w:sz="0" w:space="0" w:color="auto"/>
            <w:right w:val="none" w:sz="0" w:space="0" w:color="auto"/>
          </w:divBdr>
        </w:div>
      </w:divsChild>
    </w:div>
    <w:div w:id="944112830">
      <w:bodyDiv w:val="1"/>
      <w:marLeft w:val="0"/>
      <w:marRight w:val="0"/>
      <w:marTop w:val="0"/>
      <w:marBottom w:val="0"/>
      <w:divBdr>
        <w:top w:val="none" w:sz="0" w:space="0" w:color="auto"/>
        <w:left w:val="none" w:sz="0" w:space="0" w:color="auto"/>
        <w:bottom w:val="none" w:sz="0" w:space="0" w:color="auto"/>
        <w:right w:val="none" w:sz="0" w:space="0" w:color="auto"/>
      </w:divBdr>
      <w:divsChild>
        <w:div w:id="821502953">
          <w:marLeft w:val="547"/>
          <w:marRight w:val="0"/>
          <w:marTop w:val="0"/>
          <w:marBottom w:val="0"/>
          <w:divBdr>
            <w:top w:val="none" w:sz="0" w:space="0" w:color="auto"/>
            <w:left w:val="none" w:sz="0" w:space="0" w:color="auto"/>
            <w:bottom w:val="none" w:sz="0" w:space="0" w:color="auto"/>
            <w:right w:val="none" w:sz="0" w:space="0" w:color="auto"/>
          </w:divBdr>
        </w:div>
      </w:divsChild>
    </w:div>
    <w:div w:id="1009677782">
      <w:bodyDiv w:val="1"/>
      <w:marLeft w:val="0"/>
      <w:marRight w:val="0"/>
      <w:marTop w:val="0"/>
      <w:marBottom w:val="0"/>
      <w:divBdr>
        <w:top w:val="none" w:sz="0" w:space="0" w:color="auto"/>
        <w:left w:val="none" w:sz="0" w:space="0" w:color="auto"/>
        <w:bottom w:val="none" w:sz="0" w:space="0" w:color="auto"/>
        <w:right w:val="none" w:sz="0" w:space="0" w:color="auto"/>
      </w:divBdr>
    </w:div>
    <w:div w:id="1076440707">
      <w:bodyDiv w:val="1"/>
      <w:marLeft w:val="0"/>
      <w:marRight w:val="0"/>
      <w:marTop w:val="0"/>
      <w:marBottom w:val="0"/>
      <w:divBdr>
        <w:top w:val="none" w:sz="0" w:space="0" w:color="auto"/>
        <w:left w:val="none" w:sz="0" w:space="0" w:color="auto"/>
        <w:bottom w:val="none" w:sz="0" w:space="0" w:color="auto"/>
        <w:right w:val="none" w:sz="0" w:space="0" w:color="auto"/>
      </w:divBdr>
      <w:divsChild>
        <w:div w:id="879052329">
          <w:marLeft w:val="547"/>
          <w:marRight w:val="0"/>
          <w:marTop w:val="0"/>
          <w:marBottom w:val="0"/>
          <w:divBdr>
            <w:top w:val="none" w:sz="0" w:space="0" w:color="auto"/>
            <w:left w:val="none" w:sz="0" w:space="0" w:color="auto"/>
            <w:bottom w:val="none" w:sz="0" w:space="0" w:color="auto"/>
            <w:right w:val="none" w:sz="0" w:space="0" w:color="auto"/>
          </w:divBdr>
        </w:div>
      </w:divsChild>
    </w:div>
    <w:div w:id="1172910696">
      <w:bodyDiv w:val="1"/>
      <w:marLeft w:val="0"/>
      <w:marRight w:val="0"/>
      <w:marTop w:val="0"/>
      <w:marBottom w:val="0"/>
      <w:divBdr>
        <w:top w:val="none" w:sz="0" w:space="0" w:color="auto"/>
        <w:left w:val="none" w:sz="0" w:space="0" w:color="auto"/>
        <w:bottom w:val="none" w:sz="0" w:space="0" w:color="auto"/>
        <w:right w:val="none" w:sz="0" w:space="0" w:color="auto"/>
      </w:divBdr>
      <w:divsChild>
        <w:div w:id="1115830328">
          <w:marLeft w:val="547"/>
          <w:marRight w:val="0"/>
          <w:marTop w:val="0"/>
          <w:marBottom w:val="0"/>
          <w:divBdr>
            <w:top w:val="none" w:sz="0" w:space="0" w:color="auto"/>
            <w:left w:val="none" w:sz="0" w:space="0" w:color="auto"/>
            <w:bottom w:val="none" w:sz="0" w:space="0" w:color="auto"/>
            <w:right w:val="none" w:sz="0" w:space="0" w:color="auto"/>
          </w:divBdr>
        </w:div>
      </w:divsChild>
    </w:div>
    <w:div w:id="1180270123">
      <w:bodyDiv w:val="1"/>
      <w:marLeft w:val="0"/>
      <w:marRight w:val="0"/>
      <w:marTop w:val="0"/>
      <w:marBottom w:val="0"/>
      <w:divBdr>
        <w:top w:val="none" w:sz="0" w:space="0" w:color="auto"/>
        <w:left w:val="none" w:sz="0" w:space="0" w:color="auto"/>
        <w:bottom w:val="none" w:sz="0" w:space="0" w:color="auto"/>
        <w:right w:val="none" w:sz="0" w:space="0" w:color="auto"/>
      </w:divBdr>
    </w:div>
    <w:div w:id="1595626267">
      <w:bodyDiv w:val="1"/>
      <w:marLeft w:val="0"/>
      <w:marRight w:val="0"/>
      <w:marTop w:val="0"/>
      <w:marBottom w:val="0"/>
      <w:divBdr>
        <w:top w:val="none" w:sz="0" w:space="0" w:color="auto"/>
        <w:left w:val="none" w:sz="0" w:space="0" w:color="auto"/>
        <w:bottom w:val="none" w:sz="0" w:space="0" w:color="auto"/>
        <w:right w:val="none" w:sz="0" w:space="0" w:color="auto"/>
      </w:divBdr>
      <w:divsChild>
        <w:div w:id="1301885948">
          <w:marLeft w:val="547"/>
          <w:marRight w:val="0"/>
          <w:marTop w:val="0"/>
          <w:marBottom w:val="0"/>
          <w:divBdr>
            <w:top w:val="none" w:sz="0" w:space="0" w:color="auto"/>
            <w:left w:val="none" w:sz="0" w:space="0" w:color="auto"/>
            <w:bottom w:val="none" w:sz="0" w:space="0" w:color="auto"/>
            <w:right w:val="none" w:sz="0" w:space="0" w:color="auto"/>
          </w:divBdr>
        </w:div>
      </w:divsChild>
    </w:div>
    <w:div w:id="2023437428">
      <w:bodyDiv w:val="1"/>
      <w:marLeft w:val="0"/>
      <w:marRight w:val="0"/>
      <w:marTop w:val="0"/>
      <w:marBottom w:val="0"/>
      <w:divBdr>
        <w:top w:val="none" w:sz="0" w:space="0" w:color="auto"/>
        <w:left w:val="none" w:sz="0" w:space="0" w:color="auto"/>
        <w:bottom w:val="none" w:sz="0" w:space="0" w:color="auto"/>
        <w:right w:val="none" w:sz="0" w:space="0" w:color="auto"/>
      </w:divBdr>
      <w:divsChild>
        <w:div w:id="9259827">
          <w:marLeft w:val="0"/>
          <w:marRight w:val="0"/>
          <w:marTop w:val="0"/>
          <w:marBottom w:val="300"/>
          <w:divBdr>
            <w:top w:val="none" w:sz="0" w:space="0" w:color="auto"/>
            <w:left w:val="none" w:sz="0" w:space="0" w:color="auto"/>
            <w:bottom w:val="none" w:sz="0" w:space="0" w:color="auto"/>
            <w:right w:val="none" w:sz="0" w:space="0" w:color="auto"/>
          </w:divBdr>
          <w:divsChild>
            <w:div w:id="1059474858">
              <w:marLeft w:val="0"/>
              <w:marRight w:val="0"/>
              <w:marTop w:val="0"/>
              <w:marBottom w:val="0"/>
              <w:divBdr>
                <w:top w:val="none" w:sz="0" w:space="0" w:color="auto"/>
                <w:left w:val="none" w:sz="0" w:space="0" w:color="auto"/>
                <w:bottom w:val="none" w:sz="0" w:space="0" w:color="auto"/>
                <w:right w:val="none" w:sz="0" w:space="0" w:color="auto"/>
              </w:divBdr>
              <w:divsChild>
                <w:div w:id="14223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99395">
          <w:marLeft w:val="0"/>
          <w:marRight w:val="0"/>
          <w:marTop w:val="0"/>
          <w:marBottom w:val="300"/>
          <w:divBdr>
            <w:top w:val="none" w:sz="0" w:space="0" w:color="auto"/>
            <w:left w:val="none" w:sz="0" w:space="0" w:color="auto"/>
            <w:bottom w:val="none" w:sz="0" w:space="0" w:color="auto"/>
            <w:right w:val="none" w:sz="0" w:space="0" w:color="auto"/>
          </w:divBdr>
          <w:divsChild>
            <w:div w:id="1953247373">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2053114140">
      <w:bodyDiv w:val="1"/>
      <w:marLeft w:val="0"/>
      <w:marRight w:val="0"/>
      <w:marTop w:val="0"/>
      <w:marBottom w:val="0"/>
      <w:divBdr>
        <w:top w:val="none" w:sz="0" w:space="0" w:color="auto"/>
        <w:left w:val="none" w:sz="0" w:space="0" w:color="auto"/>
        <w:bottom w:val="none" w:sz="0" w:space="0" w:color="auto"/>
        <w:right w:val="none" w:sz="0" w:space="0" w:color="auto"/>
      </w:divBdr>
      <w:divsChild>
        <w:div w:id="98180958">
          <w:marLeft w:val="547"/>
          <w:marRight w:val="0"/>
          <w:marTop w:val="0"/>
          <w:marBottom w:val="0"/>
          <w:divBdr>
            <w:top w:val="none" w:sz="0" w:space="0" w:color="auto"/>
            <w:left w:val="none" w:sz="0" w:space="0" w:color="auto"/>
            <w:bottom w:val="none" w:sz="0" w:space="0" w:color="auto"/>
            <w:right w:val="none" w:sz="0" w:space="0" w:color="auto"/>
          </w:divBdr>
        </w:div>
      </w:divsChild>
    </w:div>
    <w:div w:id="209027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chart" Target="charts/chart3.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chart" Target="charts/chart2.xml"/><Relationship Id="rId33"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chart" Target="charts/chart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microsoft.com/office/2007/relationships/hdphoto" Target="media/hdphoto2.wdp"/><Relationship Id="rId28" Type="http://schemas.openxmlformats.org/officeDocument/2006/relationships/chart" Target="charts/chart5.xml"/><Relationship Id="rId10" Type="http://schemas.openxmlformats.org/officeDocument/2006/relationships/image" Target="media/image3.png"/><Relationship Id="rId19" Type="http://schemas.openxmlformats.org/officeDocument/2006/relationships/diagramQuickStyle" Target="diagrams/quickStyle2.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image" Target="media/image4.png"/><Relationship Id="rId27" Type="http://schemas.openxmlformats.org/officeDocument/2006/relationships/chart" Target="charts/chart4.xml"/><Relationship Id="rId30"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Microsoft%20Word%20&#30340;&#22294;&#34920;%20"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ltlin\OneDrive%20-%20Deloitte%20(O365D)\LBOT%20SG_MAS%20ERM&#39640;&#39080;&#38570;&#25480;&#20449;&#23458;&#25142;&#28331;&#25490;&#36039;&#35338;_v0.4_20220615.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ltlin\OneDrive%20-%20Deloitte%20(O365D)\LBOT%20SG_MAS%20ERM&#39640;&#39080;&#38570;&#25480;&#20449;&#23458;&#25142;&#28331;&#25490;&#36039;&#35338;_v0.4_20220615.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pieChart>
        <c:varyColors val="1"/>
        <c:ser>
          <c:idx val="0"/>
          <c:order val="0"/>
          <c:dPt>
            <c:idx val="0"/>
            <c:bubble3D val="0"/>
            <c:spPr>
              <a:solidFill>
                <a:schemeClr val="accent6">
                  <a:tint val="77000"/>
                </a:schemeClr>
              </a:solidFill>
              <a:ln w="19050">
                <a:solidFill>
                  <a:schemeClr val="lt1"/>
                </a:solidFill>
              </a:ln>
              <a:effectLst/>
            </c:spPr>
            <c:extLst>
              <c:ext xmlns:c16="http://schemas.microsoft.com/office/drawing/2014/chart" uri="{C3380CC4-5D6E-409C-BE32-E72D297353CC}">
                <c16:uniqueId val="{00000001-0FC4-4AF1-9B45-AB86D5B16BBE}"/>
              </c:ext>
            </c:extLst>
          </c:dPt>
          <c:dPt>
            <c:idx val="1"/>
            <c:bubble3D val="0"/>
            <c:spPr>
              <a:solidFill>
                <a:schemeClr val="accent6">
                  <a:shade val="76000"/>
                </a:schemeClr>
              </a:solidFill>
              <a:ln w="19050">
                <a:solidFill>
                  <a:schemeClr val="lt1"/>
                </a:solidFill>
              </a:ln>
              <a:effectLst/>
            </c:spPr>
            <c:extLst>
              <c:ext xmlns:c16="http://schemas.microsoft.com/office/drawing/2014/chart" uri="{C3380CC4-5D6E-409C-BE32-E72D297353CC}">
                <c16:uniqueId val="{00000003-0FC4-4AF1-9B45-AB86D5B16BBE}"/>
              </c:ext>
            </c:extLst>
          </c:dPt>
          <c:dLbls>
            <c:dLbl>
              <c:idx val="1"/>
              <c:spPr>
                <a:noFill/>
                <a:ln>
                  <a:noFill/>
                </a:ln>
                <a:effectLst/>
              </c:spPr>
              <c:txPr>
                <a:bodyPr rot="0" spcFirstLastPara="1" vertOverflow="ellipsis" vert="horz" wrap="square" anchor="ctr" anchorCtr="1"/>
                <a:lstStyle/>
                <a:p>
                  <a:pPr>
                    <a:defRPr sz="1200" b="1"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3-0FC4-4AF1-9B45-AB86D5B16BBE}"/>
                </c:ext>
              </c:extLst>
            </c:dLbl>
            <c:spPr>
              <a:noFill/>
              <a:ln>
                <a:noFill/>
              </a:ln>
              <a:effectLst/>
            </c:spPr>
            <c:txPr>
              <a:bodyPr rot="0" spcFirstLastPara="1" vertOverflow="ellipsis" vert="horz" wrap="square" anchor="ctr" anchorCtr="1"/>
              <a:lstStyle/>
              <a:p>
                <a:pPr>
                  <a:defRPr sz="120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工作表1!$F$4:$F$5</c:f>
              <c:strCache>
                <c:ptCount val="2"/>
                <c:pt idx="0">
                  <c:v>Non-high environmental risk</c:v>
                </c:pt>
                <c:pt idx="1">
                  <c:v>High environmental risk</c:v>
                </c:pt>
              </c:strCache>
            </c:strRef>
          </c:cat>
          <c:val>
            <c:numRef>
              <c:f>工作表1!$G$4:$G$5</c:f>
              <c:numCache>
                <c:formatCode>General</c:formatCode>
                <c:ptCount val="2"/>
                <c:pt idx="0">
                  <c:v>25</c:v>
                </c:pt>
                <c:pt idx="1">
                  <c:v>8</c:v>
                </c:pt>
              </c:numCache>
            </c:numRef>
          </c:val>
          <c:extLst>
            <c:ext xmlns:c16="http://schemas.microsoft.com/office/drawing/2014/chart" uri="{C3380CC4-5D6E-409C-BE32-E72D297353CC}">
              <c16:uniqueId val="{00000004-0FC4-4AF1-9B45-AB86D5B16BBE}"/>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05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pieChart>
        <c:varyColors val="1"/>
        <c:ser>
          <c:idx val="0"/>
          <c:order val="0"/>
          <c:dPt>
            <c:idx val="0"/>
            <c:bubble3D val="0"/>
            <c:spPr>
              <a:solidFill>
                <a:schemeClr val="accent6">
                  <a:tint val="77000"/>
                </a:schemeClr>
              </a:solidFill>
              <a:ln w="19050">
                <a:solidFill>
                  <a:schemeClr val="lt1"/>
                </a:solidFill>
              </a:ln>
              <a:effectLst/>
            </c:spPr>
            <c:extLst>
              <c:ext xmlns:c16="http://schemas.microsoft.com/office/drawing/2014/chart" uri="{C3380CC4-5D6E-409C-BE32-E72D297353CC}">
                <c16:uniqueId val="{00000001-D20E-433E-8597-19A5BEBF9638}"/>
              </c:ext>
            </c:extLst>
          </c:dPt>
          <c:dPt>
            <c:idx val="1"/>
            <c:bubble3D val="0"/>
            <c:spPr>
              <a:solidFill>
                <a:schemeClr val="accent6">
                  <a:shade val="76000"/>
                </a:schemeClr>
              </a:solidFill>
              <a:ln w="19050">
                <a:solidFill>
                  <a:schemeClr val="lt1"/>
                </a:solidFill>
              </a:ln>
              <a:effectLst/>
            </c:spPr>
            <c:extLst>
              <c:ext xmlns:c16="http://schemas.microsoft.com/office/drawing/2014/chart" uri="{C3380CC4-5D6E-409C-BE32-E72D297353CC}">
                <c16:uniqueId val="{00000003-D20E-433E-8597-19A5BEBF9638}"/>
              </c:ext>
            </c:extLst>
          </c:dPt>
          <c:dLbls>
            <c:dLbl>
              <c:idx val="0"/>
              <c:layout/>
              <c:tx>
                <c:rich>
                  <a:bodyPr/>
                  <a:lstStyle/>
                  <a:p>
                    <a:fld id="{0A60B4F5-5DF1-4F0F-B400-5716098CB58D}" type="VALUE">
                      <a:rPr lang="en-US" altLang="zh-TW" sz="1050" b="1"/>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D20E-433E-8597-19A5BEBF9638}"/>
                </c:ext>
              </c:extLst>
            </c:dLbl>
            <c:dLbl>
              <c:idx val="1"/>
              <c:layout>
                <c:manualLayout>
                  <c:x val="0.12501413521117472"/>
                  <c:y val="0.18339797525309337"/>
                </c:manualLayout>
              </c:layout>
              <c:tx>
                <c:rich>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fld id="{FEE660BA-D799-428A-9E61-486F8339A7DD}" type="VALUE">
                      <a:rPr lang="en-US" altLang="zh-TW" sz="1050" b="1">
                        <a:solidFill>
                          <a:schemeClr val="bg1"/>
                        </a:solidFill>
                      </a:rPr>
                      <a:pPr>
                        <a:defRPr sz="1050" b="1">
                          <a:solidFill>
                            <a:schemeClr val="bg1"/>
                          </a:solidFill>
                        </a:defRPr>
                      </a:pPr>
                      <a:t>[VALUE]</a:t>
                    </a:fld>
                    <a:endParaRPr lang="en-US"/>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D20E-433E-8597-19A5BEBF9638}"/>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工作表1!$I$4:$I$5</c:f>
              <c:strCache>
                <c:ptCount val="2"/>
                <c:pt idx="0">
                  <c:v>Non-high environmental risk</c:v>
                </c:pt>
                <c:pt idx="1">
                  <c:v>High environmental risk</c:v>
                </c:pt>
              </c:strCache>
            </c:strRef>
          </c:cat>
          <c:val>
            <c:numRef>
              <c:f>工作表1!$J$4:$J$5</c:f>
              <c:numCache>
                <c:formatCode>"$"#,##0_);[Red]\("$"#,##0\)</c:formatCode>
                <c:ptCount val="2"/>
                <c:pt idx="0">
                  <c:v>342185000</c:v>
                </c:pt>
                <c:pt idx="1">
                  <c:v>134100000</c:v>
                </c:pt>
              </c:numCache>
            </c:numRef>
          </c:val>
          <c:extLst>
            <c:ext xmlns:c16="http://schemas.microsoft.com/office/drawing/2014/chart" uri="{C3380CC4-5D6E-409C-BE32-E72D297353CC}">
              <c16:uniqueId val="{00000004-D20E-433E-8597-19A5BEBF963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339836958643563"/>
          <c:y val="4.1491807822485245E-2"/>
          <c:w val="0.39520969601861805"/>
          <c:h val="0.81011129806096993"/>
        </c:manualLayout>
      </c:layout>
      <c:pieChart>
        <c:varyColors val="1"/>
        <c:ser>
          <c:idx val="0"/>
          <c:order val="0"/>
          <c:dPt>
            <c:idx val="0"/>
            <c:bubble3D val="0"/>
            <c:spPr>
              <a:solidFill>
                <a:schemeClr val="accent6">
                  <a:tint val="65000"/>
                </a:schemeClr>
              </a:solidFill>
              <a:ln w="19050">
                <a:solidFill>
                  <a:schemeClr val="lt1"/>
                </a:solidFill>
              </a:ln>
              <a:effectLst/>
            </c:spPr>
            <c:extLst>
              <c:ext xmlns:c16="http://schemas.microsoft.com/office/drawing/2014/chart" uri="{C3380CC4-5D6E-409C-BE32-E72D297353CC}">
                <c16:uniqueId val="{00000001-C5AA-4548-8980-8C87F870FF37}"/>
              </c:ext>
            </c:extLst>
          </c:dPt>
          <c:dPt>
            <c:idx val="1"/>
            <c:bubble3D val="0"/>
            <c:spPr>
              <a:solidFill>
                <a:schemeClr val="accent6"/>
              </a:solidFill>
              <a:ln w="19050">
                <a:solidFill>
                  <a:schemeClr val="lt1"/>
                </a:solidFill>
              </a:ln>
              <a:effectLst/>
            </c:spPr>
            <c:extLst>
              <c:ext xmlns:c16="http://schemas.microsoft.com/office/drawing/2014/chart" uri="{C3380CC4-5D6E-409C-BE32-E72D297353CC}">
                <c16:uniqueId val="{00000003-C5AA-4548-8980-8C87F870FF37}"/>
              </c:ext>
            </c:extLst>
          </c:dPt>
          <c:dPt>
            <c:idx val="2"/>
            <c:bubble3D val="0"/>
            <c:spPr>
              <a:solidFill>
                <a:schemeClr val="accent6">
                  <a:shade val="65000"/>
                </a:schemeClr>
              </a:solidFill>
              <a:ln w="19050">
                <a:solidFill>
                  <a:schemeClr val="lt1"/>
                </a:solidFill>
              </a:ln>
              <a:effectLst/>
            </c:spPr>
            <c:extLst>
              <c:ext xmlns:c16="http://schemas.microsoft.com/office/drawing/2014/chart" uri="{C3380CC4-5D6E-409C-BE32-E72D297353CC}">
                <c16:uniqueId val="{00000005-C5AA-4548-8980-8C87F870FF37}"/>
              </c:ext>
            </c:extLst>
          </c:dPt>
          <c:dLbls>
            <c:dLbl>
              <c:idx val="1"/>
              <c:spPr>
                <a:noFill/>
                <a:ln>
                  <a:noFill/>
                </a:ln>
                <a:effectLst/>
              </c:spPr>
              <c:txPr>
                <a:bodyPr rot="0" spcFirstLastPara="1" vertOverflow="ellipsis" vert="horz" wrap="square" anchor="ctr" anchorCtr="1"/>
                <a:lstStyle/>
                <a:p>
                  <a:pPr>
                    <a:defRPr sz="1050" b="1"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3-C5AA-4548-8980-8C87F870FF37}"/>
                </c:ext>
              </c:extLst>
            </c:dLbl>
            <c:dLbl>
              <c:idx val="2"/>
              <c:spPr>
                <a:noFill/>
                <a:ln>
                  <a:noFill/>
                </a:ln>
                <a:effectLst/>
              </c:spPr>
              <c:txPr>
                <a:bodyPr rot="0" spcFirstLastPara="1" vertOverflow="ellipsis" vert="horz" wrap="square" anchor="ctr" anchorCtr="1"/>
                <a:lstStyle/>
                <a:p>
                  <a:pPr>
                    <a:defRPr sz="1050" b="1"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5-C5AA-4548-8980-8C87F870FF37}"/>
                </c:ext>
              </c:extLst>
            </c:dLbl>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工作表2!$I$1:$I$3</c:f>
              <c:strCache>
                <c:ptCount val="3"/>
                <c:pt idx="0">
                  <c:v>Industrial</c:v>
                </c:pt>
                <c:pt idx="1">
                  <c:v>Energy, including upstream</c:v>
                </c:pt>
                <c:pt idx="2">
                  <c:v>Transportation and Fuel</c:v>
                </c:pt>
              </c:strCache>
            </c:strRef>
          </c:cat>
          <c:val>
            <c:numRef>
              <c:f>工作表2!$J$1:$J$3</c:f>
              <c:numCache>
                <c:formatCode>0.0%</c:formatCode>
                <c:ptCount val="3"/>
                <c:pt idx="0">
                  <c:v>0.70171513795674867</c:v>
                </c:pt>
                <c:pt idx="1">
                  <c:v>0.22371364653243847</c:v>
                </c:pt>
                <c:pt idx="2">
                  <c:v>7.4571215510812833E-2</c:v>
                </c:pt>
              </c:numCache>
            </c:numRef>
          </c:val>
          <c:extLst>
            <c:ext xmlns:c16="http://schemas.microsoft.com/office/drawing/2014/chart" uri="{C3380CC4-5D6E-409C-BE32-E72D297353CC}">
              <c16:uniqueId val="{00000006-C5AA-4548-8980-8C87F870FF3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5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30975880064172306"/>
          <c:y val="9.8265694316300348E-2"/>
          <c:w val="0.45323535377749913"/>
          <c:h val="0.58013038388187088"/>
        </c:manualLayout>
      </c:layout>
      <c:pieChart>
        <c:varyColors val="1"/>
        <c:ser>
          <c:idx val="0"/>
          <c:order val="0"/>
          <c:dPt>
            <c:idx val="0"/>
            <c:bubble3D val="0"/>
            <c:spPr>
              <a:solidFill>
                <a:schemeClr val="accent6">
                  <a:tint val="48000"/>
                </a:schemeClr>
              </a:solidFill>
              <a:ln w="19050">
                <a:solidFill>
                  <a:schemeClr val="lt1"/>
                </a:solidFill>
              </a:ln>
              <a:effectLst/>
            </c:spPr>
            <c:extLst>
              <c:ext xmlns:c16="http://schemas.microsoft.com/office/drawing/2014/chart" uri="{C3380CC4-5D6E-409C-BE32-E72D297353CC}">
                <c16:uniqueId val="{00000001-A37E-45B5-9D65-0E6C588DA7C7}"/>
              </c:ext>
            </c:extLst>
          </c:dPt>
          <c:dPt>
            <c:idx val="1"/>
            <c:bubble3D val="0"/>
            <c:spPr>
              <a:solidFill>
                <a:schemeClr val="accent6">
                  <a:tint val="65000"/>
                </a:schemeClr>
              </a:solidFill>
              <a:ln w="19050">
                <a:solidFill>
                  <a:schemeClr val="lt1"/>
                </a:solidFill>
              </a:ln>
              <a:effectLst/>
            </c:spPr>
            <c:extLst>
              <c:ext xmlns:c16="http://schemas.microsoft.com/office/drawing/2014/chart" uri="{C3380CC4-5D6E-409C-BE32-E72D297353CC}">
                <c16:uniqueId val="{00000003-A37E-45B5-9D65-0E6C588DA7C7}"/>
              </c:ext>
            </c:extLst>
          </c:dPt>
          <c:dPt>
            <c:idx val="2"/>
            <c:bubble3D val="0"/>
            <c:spPr>
              <a:solidFill>
                <a:schemeClr val="accent6">
                  <a:tint val="83000"/>
                </a:schemeClr>
              </a:solidFill>
              <a:ln w="19050">
                <a:solidFill>
                  <a:schemeClr val="lt1"/>
                </a:solidFill>
              </a:ln>
              <a:effectLst/>
            </c:spPr>
            <c:extLst>
              <c:ext xmlns:c16="http://schemas.microsoft.com/office/drawing/2014/chart" uri="{C3380CC4-5D6E-409C-BE32-E72D297353CC}">
                <c16:uniqueId val="{00000005-A37E-45B5-9D65-0E6C588DA7C7}"/>
              </c:ext>
            </c:extLst>
          </c:dPt>
          <c:dPt>
            <c:idx val="3"/>
            <c:bubble3D val="0"/>
            <c:spPr>
              <a:solidFill>
                <a:schemeClr val="accent6"/>
              </a:solidFill>
              <a:ln w="19050">
                <a:solidFill>
                  <a:schemeClr val="lt1"/>
                </a:solidFill>
              </a:ln>
              <a:effectLst/>
            </c:spPr>
            <c:extLst>
              <c:ext xmlns:c16="http://schemas.microsoft.com/office/drawing/2014/chart" uri="{C3380CC4-5D6E-409C-BE32-E72D297353CC}">
                <c16:uniqueId val="{00000007-A37E-45B5-9D65-0E6C588DA7C7}"/>
              </c:ext>
            </c:extLst>
          </c:dPt>
          <c:dPt>
            <c:idx val="4"/>
            <c:bubble3D val="0"/>
            <c:spPr>
              <a:solidFill>
                <a:schemeClr val="accent6">
                  <a:shade val="82000"/>
                </a:schemeClr>
              </a:solidFill>
              <a:ln w="19050">
                <a:solidFill>
                  <a:schemeClr val="lt1"/>
                </a:solidFill>
              </a:ln>
              <a:effectLst/>
            </c:spPr>
            <c:extLst>
              <c:ext xmlns:c16="http://schemas.microsoft.com/office/drawing/2014/chart" uri="{C3380CC4-5D6E-409C-BE32-E72D297353CC}">
                <c16:uniqueId val="{00000009-A37E-45B5-9D65-0E6C588DA7C7}"/>
              </c:ext>
            </c:extLst>
          </c:dPt>
          <c:dPt>
            <c:idx val="5"/>
            <c:bubble3D val="0"/>
            <c:spPr>
              <a:solidFill>
                <a:schemeClr val="accent6">
                  <a:shade val="65000"/>
                </a:schemeClr>
              </a:solidFill>
              <a:ln w="19050">
                <a:solidFill>
                  <a:schemeClr val="lt1"/>
                </a:solidFill>
              </a:ln>
              <a:effectLst/>
            </c:spPr>
            <c:extLst>
              <c:ext xmlns:c16="http://schemas.microsoft.com/office/drawing/2014/chart" uri="{C3380CC4-5D6E-409C-BE32-E72D297353CC}">
                <c16:uniqueId val="{0000000B-A37E-45B5-9D65-0E6C588DA7C7}"/>
              </c:ext>
            </c:extLst>
          </c:dPt>
          <c:dPt>
            <c:idx val="6"/>
            <c:bubble3D val="0"/>
            <c:spPr>
              <a:solidFill>
                <a:schemeClr val="accent6">
                  <a:shade val="47000"/>
                </a:schemeClr>
              </a:solidFill>
              <a:ln w="19050">
                <a:solidFill>
                  <a:schemeClr val="lt1"/>
                </a:solidFill>
              </a:ln>
              <a:effectLst/>
            </c:spPr>
            <c:extLst>
              <c:ext xmlns:c16="http://schemas.microsoft.com/office/drawing/2014/chart" uri="{C3380CC4-5D6E-409C-BE32-E72D297353CC}">
                <c16:uniqueId val="{0000000D-A37E-45B5-9D65-0E6C588DA7C7}"/>
              </c:ext>
            </c:extLst>
          </c:dPt>
          <c:dLbls>
            <c:dLbl>
              <c:idx val="4"/>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9-A37E-45B5-9D65-0E6C588DA7C7}"/>
                </c:ext>
              </c:extLst>
            </c:dLbl>
            <c:dLbl>
              <c:idx val="5"/>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B-A37E-45B5-9D65-0E6C588DA7C7}"/>
                </c:ext>
              </c:extLst>
            </c:dLbl>
            <c:dLbl>
              <c:idx val="6"/>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D-A37E-45B5-9D65-0E6C588DA7C7}"/>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工作表2!$G$1:$G$7</c:f>
              <c:strCache>
                <c:ptCount val="7"/>
                <c:pt idx="0">
                  <c:v>Manufacture of wines</c:v>
                </c:pt>
                <c:pt idx="1">
                  <c:v>Manufacture of prepared animal feeds</c:v>
                </c:pt>
                <c:pt idx="2">
                  <c:v>Manufacture of disk drives</c:v>
                </c:pt>
                <c:pt idx="3">
                  <c:v>Petroleum refineries</c:v>
                </c:pt>
                <c:pt idx="4">
                  <c:v>Manufacture of petroleum lubricating oil</c:v>
                </c:pt>
                <c:pt idx="5">
                  <c:v>Transmission, distribution and sale of electricity</c:v>
                </c:pt>
                <c:pt idx="6">
                  <c:v> Shipping companies</c:v>
                </c:pt>
              </c:strCache>
            </c:strRef>
          </c:cat>
          <c:val>
            <c:numRef>
              <c:f>工作表2!$H$1:$H$7</c:f>
              <c:numCache>
                <c:formatCode>0.0%</c:formatCode>
                <c:ptCount val="7"/>
                <c:pt idx="0">
                  <c:v>9.0231170768083513E-2</c:v>
                </c:pt>
                <c:pt idx="1">
                  <c:v>4.4742729306487698E-2</c:v>
                </c:pt>
                <c:pt idx="2">
                  <c:v>0.1081282624906786</c:v>
                </c:pt>
                <c:pt idx="3">
                  <c:v>9.3214019388516034E-2</c:v>
                </c:pt>
                <c:pt idx="4">
                  <c:v>0.36539895600298283</c:v>
                </c:pt>
                <c:pt idx="5">
                  <c:v>0.22371364653243847</c:v>
                </c:pt>
                <c:pt idx="6">
                  <c:v>7.4571215510812833E-2</c:v>
                </c:pt>
              </c:numCache>
            </c:numRef>
          </c:val>
          <c:extLst>
            <c:ext xmlns:c16="http://schemas.microsoft.com/office/drawing/2014/chart" uri="{C3380CC4-5D6E-409C-BE32-E72D297353CC}">
              <c16:uniqueId val="{0000000E-A37E-45B5-9D65-0E6C588DA7C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3.598996846705648E-3"/>
          <c:y val="0.6917341792950038"/>
          <c:w val="0.9928018219034096"/>
          <c:h val="0.28900418346583079"/>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5-4580-4161-9BC2-6CB8955A382D}"/>
              </c:ext>
            </c:extLst>
          </c:dPt>
          <c:dPt>
            <c:idx val="1"/>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4-4580-4161-9BC2-6CB8955A382D}"/>
              </c:ext>
            </c:extLst>
          </c:dPt>
          <c:dPt>
            <c:idx val="2"/>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3-4580-4161-9BC2-6CB8955A382D}"/>
              </c:ext>
            </c:extLst>
          </c:dPt>
          <c:dPt>
            <c:idx val="3"/>
            <c:invertIfNegative val="0"/>
            <c:bubble3D val="0"/>
            <c:spPr>
              <a:solidFill>
                <a:schemeClr val="accent6">
                  <a:lumMod val="75000"/>
                </a:schemeClr>
              </a:solidFill>
              <a:ln>
                <a:noFill/>
              </a:ln>
              <a:effectLst/>
            </c:spPr>
            <c:extLst>
              <c:ext xmlns:c16="http://schemas.microsoft.com/office/drawing/2014/chart" uri="{C3380CC4-5D6E-409C-BE32-E72D297353CC}">
                <c16:uniqueId val="{00000002-4580-4161-9BC2-6CB8955A382D}"/>
              </c:ext>
            </c:extLst>
          </c:dPt>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'[Microsoft Word 的圖表 ]碳價計算'!$AA$10:$AF$11</c:f>
              <c:multiLvlStrCache>
                <c:ptCount val="6"/>
                <c:lvl>
                  <c:pt idx="0">
                    <c:v>2025</c:v>
                  </c:pt>
                  <c:pt idx="1">
                    <c:v>2050</c:v>
                  </c:pt>
                  <c:pt idx="2">
                    <c:v>2100</c:v>
                  </c:pt>
                  <c:pt idx="3">
                    <c:v>2025</c:v>
                  </c:pt>
                  <c:pt idx="4">
                    <c:v>2050</c:v>
                  </c:pt>
                  <c:pt idx="5">
                    <c:v>2100</c:v>
                  </c:pt>
                </c:lvl>
                <c:lvl>
                  <c:pt idx="0">
                    <c:v>Current Policies </c:v>
                  </c:pt>
                  <c:pt idx="3">
                    <c:v>Net Zero 2050 </c:v>
                  </c:pt>
                </c:lvl>
              </c:multiLvlStrCache>
            </c:multiLvlStrRef>
          </c:cat>
          <c:val>
            <c:numRef>
              <c:f>'[Microsoft Word 的圖表 ]碳價計算'!$AA$12:$AF$12</c:f>
              <c:numCache>
                <c:formatCode>0</c:formatCode>
                <c:ptCount val="6"/>
                <c:pt idx="0">
                  <c:v>190.08671472839433</c:v>
                </c:pt>
                <c:pt idx="1">
                  <c:v>1572.6949426948154</c:v>
                </c:pt>
                <c:pt idx="2">
                  <c:v>8098.6236377412342</c:v>
                </c:pt>
                <c:pt idx="3">
                  <c:v>33942.815435477874</c:v>
                </c:pt>
              </c:numCache>
            </c:numRef>
          </c:val>
          <c:extLst>
            <c:ext xmlns:c16="http://schemas.microsoft.com/office/drawing/2014/chart" uri="{C3380CC4-5D6E-409C-BE32-E72D297353CC}">
              <c16:uniqueId val="{00000000-4580-4161-9BC2-6CB8955A382D}"/>
            </c:ext>
          </c:extLst>
        </c:ser>
        <c:dLbls>
          <c:showLegendKey val="0"/>
          <c:showVal val="1"/>
          <c:showCatName val="0"/>
          <c:showSerName val="0"/>
          <c:showPercent val="0"/>
          <c:showBubbleSize val="0"/>
        </c:dLbls>
        <c:gapWidth val="182"/>
        <c:axId val="1380484080"/>
        <c:axId val="1380479920"/>
      </c:barChart>
      <c:barChart>
        <c:barDir val="bar"/>
        <c:grouping val="clustered"/>
        <c:varyColors val="0"/>
        <c:ser>
          <c:idx val="1"/>
          <c:order val="1"/>
          <c:spPr>
            <a:solidFill>
              <a:schemeClr val="accent6">
                <a:lumMod val="75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'[Microsoft Word 的圖表 ]碳價計算'!$AA$10:$AF$11</c:f>
              <c:multiLvlStrCache>
                <c:ptCount val="6"/>
                <c:lvl>
                  <c:pt idx="0">
                    <c:v>2025</c:v>
                  </c:pt>
                  <c:pt idx="1">
                    <c:v>2050</c:v>
                  </c:pt>
                  <c:pt idx="2">
                    <c:v>2100</c:v>
                  </c:pt>
                  <c:pt idx="3">
                    <c:v>2025</c:v>
                  </c:pt>
                  <c:pt idx="4">
                    <c:v>2050</c:v>
                  </c:pt>
                  <c:pt idx="5">
                    <c:v>2100</c:v>
                  </c:pt>
                </c:lvl>
                <c:lvl>
                  <c:pt idx="0">
                    <c:v>Current Policies </c:v>
                  </c:pt>
                  <c:pt idx="3">
                    <c:v>Net Zero 2050 </c:v>
                  </c:pt>
                </c:lvl>
              </c:multiLvlStrCache>
            </c:multiLvlStrRef>
          </c:cat>
          <c:val>
            <c:numRef>
              <c:f>'[Microsoft Word 的圖表 ]碳價計算'!$AA$13:$AF$13</c:f>
              <c:numCache>
                <c:formatCode>General</c:formatCode>
                <c:ptCount val="6"/>
                <c:pt idx="4" formatCode="0">
                  <c:v>347380.50688353437</c:v>
                </c:pt>
                <c:pt idx="5" formatCode="0">
                  <c:v>315459.78774840187</c:v>
                </c:pt>
              </c:numCache>
            </c:numRef>
          </c:val>
          <c:extLst>
            <c:ext xmlns:c16="http://schemas.microsoft.com/office/drawing/2014/chart" uri="{C3380CC4-5D6E-409C-BE32-E72D297353CC}">
              <c16:uniqueId val="{00000001-4580-4161-9BC2-6CB8955A382D}"/>
            </c:ext>
          </c:extLst>
        </c:ser>
        <c:dLbls>
          <c:showLegendKey val="0"/>
          <c:showVal val="1"/>
          <c:showCatName val="0"/>
          <c:showSerName val="0"/>
          <c:showPercent val="0"/>
          <c:showBubbleSize val="0"/>
        </c:dLbls>
        <c:gapWidth val="182"/>
        <c:axId val="1372671744"/>
        <c:axId val="1372670912"/>
      </c:barChart>
      <c:catAx>
        <c:axId val="1380484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380479920"/>
        <c:crosses val="autoZero"/>
        <c:auto val="1"/>
        <c:lblAlgn val="ctr"/>
        <c:lblOffset val="100"/>
        <c:noMultiLvlLbl val="0"/>
      </c:catAx>
      <c:valAx>
        <c:axId val="1380479920"/>
        <c:scaling>
          <c:orientation val="minMax"/>
          <c:max val="45000"/>
          <c:min val="0"/>
        </c:scaling>
        <c:delete val="0"/>
        <c:axPos val="b"/>
        <c:majorGridlines>
          <c:spPr>
            <a:ln w="9525" cap="flat" cmpd="sng" algn="ctr">
              <a:solidFill>
                <a:schemeClr val="tx1">
                  <a:lumMod val="15000"/>
                  <a:lumOff val="85000"/>
                </a:schemeClr>
              </a:solidFill>
              <a:round/>
            </a:ln>
            <a:effectLst/>
          </c:spPr>
        </c:majorGridlines>
        <c:numFmt formatCode="[=40000]&quot;310000&quot;;[=45000]&quot;350000&quot;;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380484080"/>
        <c:crosses val="autoZero"/>
        <c:crossBetween val="between"/>
        <c:majorUnit val="5000"/>
      </c:valAx>
      <c:valAx>
        <c:axId val="1372670912"/>
        <c:scaling>
          <c:orientation val="minMax"/>
          <c:max val="350000"/>
          <c:min val="0"/>
        </c:scaling>
        <c:delete val="0"/>
        <c:axPos val="t"/>
        <c:numFmt formatCode="General" sourceLinked="0"/>
        <c:majorTickMark val="out"/>
        <c:minorTickMark val="none"/>
        <c:tickLblPos val="none"/>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372671744"/>
        <c:crosses val="max"/>
        <c:crossBetween val="between"/>
      </c:valAx>
      <c:catAx>
        <c:axId val="1372671744"/>
        <c:scaling>
          <c:orientation val="minMax"/>
        </c:scaling>
        <c:delete val="1"/>
        <c:axPos val="l"/>
        <c:numFmt formatCode="General" sourceLinked="1"/>
        <c:majorTickMark val="out"/>
        <c:minorTickMark val="none"/>
        <c:tickLblPos val="nextTo"/>
        <c:crossAx val="137267091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800" b="1" i="0" u="none" strike="noStrike" kern="1200" spc="0" baseline="0">
                <a:solidFill>
                  <a:schemeClr val="accent3"/>
                </a:solidFill>
                <a:latin typeface="+mn-lt"/>
                <a:ea typeface="+mn-ea"/>
                <a:cs typeface="+mn-cs"/>
              </a:defRPr>
            </a:pPr>
            <a:r>
              <a:rPr lang="en-US" sz="1800" b="1">
                <a:solidFill>
                  <a:schemeClr val="bg2">
                    <a:lumMod val="50000"/>
                  </a:schemeClr>
                </a:solidFill>
              </a:rPr>
              <a:t>Current Policies</a:t>
            </a:r>
            <a:endParaRPr lang="zh-TW" sz="1800" b="1">
              <a:solidFill>
                <a:schemeClr val="bg2">
                  <a:lumMod val="50000"/>
                </a:schemeClr>
              </a:solidFill>
            </a:endParaRPr>
          </a:p>
        </c:rich>
      </c:tx>
      <c:layout/>
      <c:overlay val="0"/>
      <c:spPr>
        <a:noFill/>
        <a:ln>
          <a:noFill/>
        </a:ln>
        <a:effectLst/>
      </c:spPr>
      <c:txPr>
        <a:bodyPr rot="0" spcFirstLastPara="1" vertOverflow="ellipsis" vert="horz" wrap="square" anchor="ctr" anchorCtr="1"/>
        <a:lstStyle/>
        <a:p>
          <a:pPr>
            <a:defRPr sz="1800" b="1" i="0" u="none" strike="noStrike" kern="1200" spc="0" baseline="0">
              <a:solidFill>
                <a:schemeClr val="accent3"/>
              </a:solidFill>
              <a:latin typeface="+mn-lt"/>
              <a:ea typeface="+mn-ea"/>
              <a:cs typeface="+mn-cs"/>
            </a:defRPr>
          </a:pPr>
          <a:endParaRPr lang="en-US"/>
        </a:p>
      </c:txPr>
    </c:title>
    <c:autoTitleDeleted val="0"/>
    <c:plotArea>
      <c:layout/>
      <c:barChart>
        <c:barDir val="col"/>
        <c:grouping val="clustered"/>
        <c:varyColors val="0"/>
        <c:ser>
          <c:idx val="0"/>
          <c:order val="0"/>
          <c:tx>
            <c:strRef>
              <c:f>碳價計算!$U$4</c:f>
              <c:strCache>
                <c:ptCount val="1"/>
                <c:pt idx="0">
                  <c:v>Industrial</c:v>
                </c:pt>
              </c:strCache>
            </c:strRef>
          </c:tx>
          <c:spPr>
            <a:solidFill>
              <a:schemeClr val="accent6">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碳價計算!$V$3:$X$3</c:f>
              <c:numCache>
                <c:formatCode>General</c:formatCode>
                <c:ptCount val="3"/>
                <c:pt idx="0">
                  <c:v>2025</c:v>
                </c:pt>
                <c:pt idx="1">
                  <c:v>2050</c:v>
                </c:pt>
                <c:pt idx="2">
                  <c:v>2100</c:v>
                </c:pt>
              </c:numCache>
            </c:numRef>
          </c:cat>
          <c:val>
            <c:numRef>
              <c:f>碳價計算!$V$4:$X$4</c:f>
              <c:numCache>
                <c:formatCode>#,##0_ </c:formatCode>
                <c:ptCount val="3"/>
                <c:pt idx="0">
                  <c:v>100.28440580386551</c:v>
                </c:pt>
                <c:pt idx="1">
                  <c:v>934.25720427601573</c:v>
                </c:pt>
                <c:pt idx="2">
                  <c:v>4856.4504311697074</c:v>
                </c:pt>
              </c:numCache>
            </c:numRef>
          </c:val>
          <c:extLst>
            <c:ext xmlns:c16="http://schemas.microsoft.com/office/drawing/2014/chart" uri="{C3380CC4-5D6E-409C-BE32-E72D297353CC}">
              <c16:uniqueId val="{00000000-ABD2-4EE0-858B-B6558B261BD3}"/>
            </c:ext>
          </c:extLst>
        </c:ser>
        <c:ser>
          <c:idx val="1"/>
          <c:order val="1"/>
          <c:tx>
            <c:strRef>
              <c:f>碳價計算!$U$5</c:f>
              <c:strCache>
                <c:ptCount val="1"/>
                <c:pt idx="0">
                  <c:v>Energy, including upstream</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碳價計算!$V$3:$X$3</c:f>
              <c:numCache>
                <c:formatCode>General</c:formatCode>
                <c:ptCount val="3"/>
                <c:pt idx="0">
                  <c:v>2025</c:v>
                </c:pt>
                <c:pt idx="1">
                  <c:v>2050</c:v>
                </c:pt>
                <c:pt idx="2">
                  <c:v>2100</c:v>
                </c:pt>
              </c:numCache>
            </c:numRef>
          </c:cat>
          <c:val>
            <c:numRef>
              <c:f>碳價計算!$V$5:$X$5</c:f>
              <c:numCache>
                <c:formatCode>#,##0_ </c:formatCode>
                <c:ptCount val="3"/>
                <c:pt idx="0">
                  <c:v>87.529305496523406</c:v>
                </c:pt>
                <c:pt idx="1">
                  <c:v>622.27811863426223</c:v>
                </c:pt>
                <c:pt idx="2">
                  <c:v>3160.109940036612</c:v>
                </c:pt>
              </c:numCache>
            </c:numRef>
          </c:val>
          <c:extLst>
            <c:ext xmlns:c16="http://schemas.microsoft.com/office/drawing/2014/chart" uri="{C3380CC4-5D6E-409C-BE32-E72D297353CC}">
              <c16:uniqueId val="{00000001-ABD2-4EE0-858B-B6558B261BD3}"/>
            </c:ext>
          </c:extLst>
        </c:ser>
        <c:ser>
          <c:idx val="2"/>
          <c:order val="2"/>
          <c:tx>
            <c:strRef>
              <c:f>碳價計算!$U$6</c:f>
              <c:strCache>
                <c:ptCount val="1"/>
                <c:pt idx="0">
                  <c:v>Transportation and Fuel</c:v>
                </c:pt>
              </c:strCache>
            </c:strRef>
          </c:tx>
          <c:spPr>
            <a:solidFill>
              <a:schemeClr val="accent6">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碳價計算!$V$3:$X$3</c:f>
              <c:numCache>
                <c:formatCode>General</c:formatCode>
                <c:ptCount val="3"/>
                <c:pt idx="0">
                  <c:v>2025</c:v>
                </c:pt>
                <c:pt idx="1">
                  <c:v>2050</c:v>
                </c:pt>
                <c:pt idx="2">
                  <c:v>2100</c:v>
                </c:pt>
              </c:numCache>
            </c:numRef>
          </c:cat>
          <c:val>
            <c:numRef>
              <c:f>碳價計算!$V$6:$X$6</c:f>
              <c:numCache>
                <c:formatCode>#,##0_ </c:formatCode>
                <c:ptCount val="3"/>
                <c:pt idx="0">
                  <c:v>2.273003428005409</c:v>
                </c:pt>
                <c:pt idx="1">
                  <c:v>16.159619784537359</c:v>
                </c:pt>
                <c:pt idx="2">
                  <c:v>82.063266534914817</c:v>
                </c:pt>
              </c:numCache>
            </c:numRef>
          </c:val>
          <c:extLst>
            <c:ext xmlns:c16="http://schemas.microsoft.com/office/drawing/2014/chart" uri="{C3380CC4-5D6E-409C-BE32-E72D297353CC}">
              <c16:uniqueId val="{00000002-ABD2-4EE0-858B-B6558B261BD3}"/>
            </c:ext>
          </c:extLst>
        </c:ser>
        <c:dLbls>
          <c:showLegendKey val="0"/>
          <c:showVal val="1"/>
          <c:showCatName val="0"/>
          <c:showSerName val="0"/>
          <c:showPercent val="0"/>
          <c:showBubbleSize val="0"/>
        </c:dLbls>
        <c:gapWidth val="219"/>
        <c:overlap val="-27"/>
        <c:axId val="1592361407"/>
        <c:axId val="1592361823"/>
      </c:barChart>
      <c:catAx>
        <c:axId val="15923614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592361823"/>
        <c:crosses val="autoZero"/>
        <c:auto val="1"/>
        <c:lblAlgn val="ctr"/>
        <c:lblOffset val="100"/>
        <c:noMultiLvlLbl val="0"/>
      </c:catAx>
      <c:valAx>
        <c:axId val="1592361823"/>
        <c:scaling>
          <c:orientation val="minMax"/>
          <c:max val="5000"/>
        </c:scaling>
        <c:delete val="0"/>
        <c:axPos val="l"/>
        <c:majorGridlines>
          <c:spPr>
            <a:ln w="9525" cap="flat" cmpd="sng" algn="ctr">
              <a:solidFill>
                <a:schemeClr val="tx1">
                  <a:lumMod val="15000"/>
                  <a:lumOff val="85000"/>
                </a:schemeClr>
              </a:solidFill>
              <a:round/>
            </a:ln>
            <a:effectLst/>
          </c:spPr>
        </c:majorGridlines>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1592361407"/>
        <c:crosses val="autoZero"/>
        <c:crossBetween val="between"/>
        <c:majorUnit val="1000"/>
      </c:valAx>
      <c:spPr>
        <a:noFill/>
        <a:ln>
          <a:noFill/>
        </a:ln>
        <a:effectLst/>
      </c:spPr>
    </c:plotArea>
    <c:legend>
      <c:legendPos val="b"/>
      <c:layout>
        <c:manualLayout>
          <c:xMode val="edge"/>
          <c:yMode val="edge"/>
          <c:x val="0"/>
          <c:y val="0.86719124660396507"/>
          <c:w val="0.99856360358037355"/>
          <c:h val="0.11255217000643319"/>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80" b="0" i="0" u="none" strike="noStrike" kern="1200" spc="0" baseline="0">
                <a:solidFill>
                  <a:schemeClr val="tx1">
                    <a:lumMod val="65000"/>
                    <a:lumOff val="35000"/>
                  </a:schemeClr>
                </a:solidFill>
                <a:latin typeface="+mn-lt"/>
                <a:ea typeface="+mn-ea"/>
                <a:cs typeface="+mn-cs"/>
              </a:defRPr>
            </a:pPr>
            <a:r>
              <a:rPr lang="en-US" b="1"/>
              <a:t>Net Zero 2050</a:t>
            </a:r>
            <a:endParaRPr lang="zh-TW" b="1"/>
          </a:p>
        </c:rich>
      </c:tx>
      <c:layout>
        <c:manualLayout>
          <c:xMode val="edge"/>
          <c:yMode val="edge"/>
          <c:x val="0.38057017543859639"/>
          <c:y val="4.5318417190643522E-2"/>
        </c:manualLayout>
      </c:layout>
      <c:overlay val="0"/>
      <c:spPr>
        <a:noFill/>
        <a:ln>
          <a:noFill/>
        </a:ln>
        <a:effectLst/>
      </c:spPr>
      <c:txPr>
        <a:bodyPr rot="0" spcFirstLastPara="1" vertOverflow="ellipsis" vert="horz" wrap="square" anchor="ctr" anchorCtr="1"/>
        <a:lstStyle/>
        <a:p>
          <a:pPr>
            <a:defRPr sz="168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069864622185386"/>
          <c:y val="0.17680225159976393"/>
          <c:w val="0.82517854676060232"/>
          <c:h val="0.63770768264927902"/>
        </c:manualLayout>
      </c:layout>
      <c:barChart>
        <c:barDir val="col"/>
        <c:grouping val="clustered"/>
        <c:varyColors val="0"/>
        <c:ser>
          <c:idx val="0"/>
          <c:order val="0"/>
          <c:tx>
            <c:strRef>
              <c:f>碳價計算!$Y$4</c:f>
              <c:strCache>
                <c:ptCount val="1"/>
                <c:pt idx="0">
                  <c:v>Industrial</c:v>
                </c:pt>
              </c:strCache>
            </c:strRef>
          </c:tx>
          <c:spPr>
            <a:solidFill>
              <a:schemeClr val="accent5">
                <a:tint val="65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碳價計算!$Z$3:$AB$3</c:f>
              <c:numCache>
                <c:formatCode>General</c:formatCode>
                <c:ptCount val="3"/>
                <c:pt idx="0">
                  <c:v>2025</c:v>
                </c:pt>
                <c:pt idx="1">
                  <c:v>2050</c:v>
                </c:pt>
                <c:pt idx="2">
                  <c:v>2100</c:v>
                </c:pt>
              </c:numCache>
            </c:numRef>
          </c:cat>
          <c:val>
            <c:numRef>
              <c:f>碳價計算!$Z$4:$AB$4</c:f>
              <c:numCache>
                <c:formatCode>#,##0_ </c:formatCode>
                <c:ptCount val="3"/>
                <c:pt idx="0">
                  <c:v>17997.04086611827</c:v>
                </c:pt>
                <c:pt idx="1">
                  <c:v>208314.10630876783</c:v>
                </c:pt>
                <c:pt idx="2">
                  <c:v>189169.77634173908</c:v>
                </c:pt>
              </c:numCache>
            </c:numRef>
          </c:val>
          <c:extLst>
            <c:ext xmlns:c16="http://schemas.microsoft.com/office/drawing/2014/chart" uri="{C3380CC4-5D6E-409C-BE32-E72D297353CC}">
              <c16:uniqueId val="{00000000-8D78-452C-8A7F-90FD4CE6EB32}"/>
            </c:ext>
          </c:extLst>
        </c:ser>
        <c:ser>
          <c:idx val="1"/>
          <c:order val="1"/>
          <c:tx>
            <c:strRef>
              <c:f>碳價計算!$Y$5</c:f>
              <c:strCache>
                <c:ptCount val="1"/>
                <c:pt idx="0">
                  <c:v>Energy, including upstream</c:v>
                </c:pt>
              </c:strCache>
            </c:strRef>
          </c:tx>
          <c:spPr>
            <a:solidFill>
              <a:schemeClr val="accent5"/>
            </a:solidFill>
            <a:ln>
              <a:noFill/>
            </a:ln>
            <a:effectLst/>
          </c:spPr>
          <c:invertIfNegative val="0"/>
          <c:dLbls>
            <c:dLbl>
              <c:idx val="0"/>
              <c:layout>
                <c:manualLayout>
                  <c:x val="8.771929824561403E-3"/>
                  <c:y val="-6.34457840669009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D78-452C-8A7F-90FD4CE6EB32}"/>
                </c:ext>
              </c:extLst>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碳價計算!$Z$3:$AB$3</c:f>
              <c:numCache>
                <c:formatCode>General</c:formatCode>
                <c:ptCount val="3"/>
                <c:pt idx="0">
                  <c:v>2025</c:v>
                </c:pt>
                <c:pt idx="1">
                  <c:v>2050</c:v>
                </c:pt>
                <c:pt idx="2">
                  <c:v>2100</c:v>
                </c:pt>
              </c:numCache>
            </c:numRef>
          </c:cat>
          <c:val>
            <c:numRef>
              <c:f>碳價計算!$Z$5:$AB$5</c:f>
              <c:numCache>
                <c:formatCode>#,##0_ </c:formatCode>
                <c:ptCount val="3"/>
                <c:pt idx="0">
                  <c:v>15542.168017452164</c:v>
                </c:pt>
                <c:pt idx="1">
                  <c:v>135546.46429459279</c:v>
                </c:pt>
                <c:pt idx="2">
                  <c:v>123093.46075793242</c:v>
                </c:pt>
              </c:numCache>
            </c:numRef>
          </c:val>
          <c:extLst>
            <c:ext xmlns:c16="http://schemas.microsoft.com/office/drawing/2014/chart" uri="{C3380CC4-5D6E-409C-BE32-E72D297353CC}">
              <c16:uniqueId val="{00000002-8D78-452C-8A7F-90FD4CE6EB32}"/>
            </c:ext>
          </c:extLst>
        </c:ser>
        <c:ser>
          <c:idx val="2"/>
          <c:order val="2"/>
          <c:tx>
            <c:strRef>
              <c:f>碳價計算!$Y$6</c:f>
              <c:strCache>
                <c:ptCount val="1"/>
                <c:pt idx="0">
                  <c:v>Transportation and Fuel</c:v>
                </c:pt>
              </c:strCache>
            </c:strRef>
          </c:tx>
          <c:spPr>
            <a:solidFill>
              <a:schemeClr val="accent5">
                <a:shade val="65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碳價計算!$Z$3:$AB$3</c:f>
              <c:numCache>
                <c:formatCode>General</c:formatCode>
                <c:ptCount val="3"/>
                <c:pt idx="0">
                  <c:v>2025</c:v>
                </c:pt>
                <c:pt idx="1">
                  <c:v>2050</c:v>
                </c:pt>
                <c:pt idx="2">
                  <c:v>2100</c:v>
                </c:pt>
              </c:numCache>
            </c:numRef>
          </c:cat>
          <c:val>
            <c:numRef>
              <c:f>碳價計算!$Z$6:$AB$6</c:f>
              <c:numCache>
                <c:formatCode>#,##0_ </c:formatCode>
                <c:ptCount val="3"/>
                <c:pt idx="0">
                  <c:v>403.60655190744052</c:v>
                </c:pt>
                <c:pt idx="1">
                  <c:v>3519.9362801737248</c:v>
                </c:pt>
                <c:pt idx="2">
                  <c:v>3196.5506487303592</c:v>
                </c:pt>
              </c:numCache>
            </c:numRef>
          </c:val>
          <c:extLst>
            <c:ext xmlns:c16="http://schemas.microsoft.com/office/drawing/2014/chart" uri="{C3380CC4-5D6E-409C-BE32-E72D297353CC}">
              <c16:uniqueId val="{00000003-8D78-452C-8A7F-90FD4CE6EB32}"/>
            </c:ext>
          </c:extLst>
        </c:ser>
        <c:dLbls>
          <c:showLegendKey val="0"/>
          <c:showVal val="1"/>
          <c:showCatName val="0"/>
          <c:showSerName val="0"/>
          <c:showPercent val="0"/>
          <c:showBubbleSize val="0"/>
        </c:dLbls>
        <c:gapWidth val="219"/>
        <c:overlap val="-27"/>
        <c:axId val="1932050799"/>
        <c:axId val="1932049135"/>
      </c:barChart>
      <c:catAx>
        <c:axId val="19320507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1932049135"/>
        <c:crosses val="autoZero"/>
        <c:auto val="1"/>
        <c:lblAlgn val="ctr"/>
        <c:lblOffset val="100"/>
        <c:noMultiLvlLbl val="0"/>
      </c:catAx>
      <c:valAx>
        <c:axId val="1932049135"/>
        <c:scaling>
          <c:orientation val="minMax"/>
        </c:scaling>
        <c:delete val="0"/>
        <c:axPos val="l"/>
        <c:majorGridlines>
          <c:spPr>
            <a:ln w="9525" cap="flat" cmpd="sng" algn="ctr">
              <a:solidFill>
                <a:schemeClr val="tx1">
                  <a:lumMod val="15000"/>
                  <a:lumOff val="85000"/>
                </a:schemeClr>
              </a:solidFill>
              <a:round/>
            </a:ln>
            <a:effectLst/>
          </c:spPr>
        </c:majorGridlines>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1932050799"/>
        <c:crosses val="autoZero"/>
        <c:crossBetween val="between"/>
      </c:valAx>
      <c:spPr>
        <a:noFill/>
        <a:ln>
          <a:noFill/>
        </a:ln>
        <a:effectLst/>
      </c:spPr>
    </c:plotArea>
    <c:legend>
      <c:legendPos val="b"/>
      <c:layout>
        <c:manualLayout>
          <c:xMode val="edge"/>
          <c:yMode val="edge"/>
          <c:x val="3.5413631094913321E-2"/>
          <c:y val="0.90763379153876955"/>
          <c:w val="0.91994338847930124"/>
          <c:h val="6.9550041577266991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colors2.xml><?xml version="1.0" encoding="utf-8"?>
<cs:colorStyle xmlns:cs="http://schemas.microsoft.com/office/drawing/2012/chartStyle" xmlns:a="http://schemas.openxmlformats.org/drawingml/2006/main" meth="withinLinearReversed" id="26">
  <a:schemeClr val="accent6"/>
</cs:colorStyle>
</file>

<file path=word/charts/colors3.xml><?xml version="1.0" encoding="utf-8"?>
<cs:colorStyle xmlns:cs="http://schemas.microsoft.com/office/drawing/2012/chartStyle" xmlns:a="http://schemas.openxmlformats.org/drawingml/2006/main" meth="withinLinearReversed" id="26">
  <a:schemeClr val="accent6"/>
</cs:colorStyle>
</file>

<file path=word/charts/colors4.xml><?xml version="1.0" encoding="utf-8"?>
<cs:colorStyle xmlns:cs="http://schemas.microsoft.com/office/drawing/2012/chartStyle" xmlns:a="http://schemas.openxmlformats.org/drawingml/2006/main" meth="withinLinearReversed" id="26">
  <a:schemeClr val="accent6"/>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9">
  <a:schemeClr val="accent6"/>
</cs:colorStyle>
</file>

<file path=word/charts/colors7.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94D793-BEAD-4CD4-B757-49FDD2A19595}" type="doc">
      <dgm:prSet loTypeId="urn:microsoft.com/office/officeart/2005/8/layout/pyramid2" loCatId="pyramid" qsTypeId="urn:microsoft.com/office/officeart/2005/8/quickstyle/simple1" qsCatId="simple" csTypeId="urn:microsoft.com/office/officeart/2005/8/colors/accent6_3" csCatId="accent6" phldr="1"/>
      <dgm:spPr/>
    </dgm:pt>
    <dgm:pt modelId="{201892DC-04DE-4289-BE09-7DF92E28F8C5}">
      <dgm:prSet phldrT="[文字]"/>
      <dgm:spPr/>
      <dgm:t>
        <a:bodyPr/>
        <a:lstStyle/>
        <a:p>
          <a:pPr algn="l"/>
          <a:r>
            <a:rPr lang="en-US" b="1"/>
            <a:t>Third Line of Defence</a:t>
          </a:r>
          <a:r>
            <a:rPr lang="en-US"/>
            <a:t>: Group Internal Audit </a:t>
          </a:r>
          <a:endParaRPr lang="zh-TW" altLang="en-US"/>
        </a:p>
      </dgm:t>
    </dgm:pt>
    <dgm:pt modelId="{C6C2BAAA-0DA1-4EF1-827F-6B272D6CB46C}" type="parTrans" cxnId="{0A9D05B8-3A27-44B6-A160-E4F48E28B4A1}">
      <dgm:prSet/>
      <dgm:spPr/>
      <dgm:t>
        <a:bodyPr/>
        <a:lstStyle/>
        <a:p>
          <a:pPr algn="l"/>
          <a:endParaRPr lang="zh-TW" altLang="en-US"/>
        </a:p>
      </dgm:t>
    </dgm:pt>
    <dgm:pt modelId="{8A671A97-3383-46E9-B8D3-C812ACBB099B}" type="sibTrans" cxnId="{0A9D05B8-3A27-44B6-A160-E4F48E28B4A1}">
      <dgm:prSet/>
      <dgm:spPr/>
      <dgm:t>
        <a:bodyPr/>
        <a:lstStyle/>
        <a:p>
          <a:pPr algn="l"/>
          <a:endParaRPr lang="zh-TW" altLang="en-US"/>
        </a:p>
      </dgm:t>
    </dgm:pt>
    <dgm:pt modelId="{9C2B407D-96E0-4113-ACC0-A192DC902E71}">
      <dgm:prSet phldrT="[文字]"/>
      <dgm:spPr/>
      <dgm:t>
        <a:bodyPr/>
        <a:lstStyle/>
        <a:p>
          <a:pPr algn="l"/>
          <a:r>
            <a:rPr lang="en-US" b="1"/>
            <a:t>Second Line of Defence:</a:t>
          </a:r>
          <a:r>
            <a:rPr lang="en-US"/>
            <a:t> Loans Committee and Compliance Department </a:t>
          </a:r>
          <a:endParaRPr lang="zh-TW" altLang="en-US"/>
        </a:p>
      </dgm:t>
    </dgm:pt>
    <dgm:pt modelId="{B69E8072-B78B-4F79-9A3D-17A738D4F25A}" type="parTrans" cxnId="{65D5B66B-393A-4209-B539-F1B7990B137D}">
      <dgm:prSet/>
      <dgm:spPr/>
      <dgm:t>
        <a:bodyPr/>
        <a:lstStyle/>
        <a:p>
          <a:pPr algn="l"/>
          <a:endParaRPr lang="zh-TW" altLang="en-US"/>
        </a:p>
      </dgm:t>
    </dgm:pt>
    <dgm:pt modelId="{7C368A80-9047-4C27-846A-C2B9FF070AA7}" type="sibTrans" cxnId="{65D5B66B-393A-4209-B539-F1B7990B137D}">
      <dgm:prSet/>
      <dgm:spPr/>
      <dgm:t>
        <a:bodyPr/>
        <a:lstStyle/>
        <a:p>
          <a:pPr algn="l"/>
          <a:endParaRPr lang="zh-TW" altLang="en-US"/>
        </a:p>
      </dgm:t>
    </dgm:pt>
    <dgm:pt modelId="{AA3CF594-463F-4EA7-AE01-FB5AF3DA94EE}">
      <dgm:prSet/>
      <dgm:spPr/>
      <dgm:t>
        <a:bodyPr/>
        <a:lstStyle/>
        <a:p>
          <a:pPr algn="l"/>
          <a:r>
            <a:rPr lang="en-US" altLang="en-US" b="1"/>
            <a:t>First Line of Defence:</a:t>
          </a:r>
          <a:r>
            <a:rPr lang="en-US" altLang="en-US"/>
            <a:t> </a:t>
          </a:r>
          <a:r>
            <a:rPr lang="en-US" altLang="zh-TW"/>
            <a:t>Loan Department</a:t>
          </a:r>
          <a:endParaRPr lang="zh-TW" altLang="en-US"/>
        </a:p>
      </dgm:t>
    </dgm:pt>
    <dgm:pt modelId="{C8738715-96E4-45D6-92E4-9E8A751E4CFF}" type="parTrans" cxnId="{C0AC6813-3A76-4D30-9277-B89348A00DA8}">
      <dgm:prSet/>
      <dgm:spPr/>
      <dgm:t>
        <a:bodyPr/>
        <a:lstStyle/>
        <a:p>
          <a:pPr algn="l"/>
          <a:endParaRPr lang="zh-TW" altLang="en-US"/>
        </a:p>
      </dgm:t>
    </dgm:pt>
    <dgm:pt modelId="{C2261C52-1BC3-4F6D-871E-86735C7492F5}" type="sibTrans" cxnId="{C0AC6813-3A76-4D30-9277-B89348A00DA8}">
      <dgm:prSet/>
      <dgm:spPr/>
      <dgm:t>
        <a:bodyPr/>
        <a:lstStyle/>
        <a:p>
          <a:pPr algn="l"/>
          <a:endParaRPr lang="zh-TW" altLang="en-US"/>
        </a:p>
      </dgm:t>
    </dgm:pt>
    <dgm:pt modelId="{2023096E-6291-44DC-8237-FE4C93AEEA4A}" type="pres">
      <dgm:prSet presAssocID="{7394D793-BEAD-4CD4-B757-49FDD2A19595}" presName="compositeShape" presStyleCnt="0">
        <dgm:presLayoutVars>
          <dgm:dir/>
          <dgm:resizeHandles/>
        </dgm:presLayoutVars>
      </dgm:prSet>
      <dgm:spPr/>
    </dgm:pt>
    <dgm:pt modelId="{10B7C96D-2E25-4EAA-9A05-5C606DFED37D}" type="pres">
      <dgm:prSet presAssocID="{7394D793-BEAD-4CD4-B757-49FDD2A19595}" presName="pyramid" presStyleLbl="node1" presStyleIdx="0" presStyleCnt="1"/>
      <dgm:spPr/>
    </dgm:pt>
    <dgm:pt modelId="{DFAC2CCA-6AE5-400B-A764-8873FA619AA4}" type="pres">
      <dgm:prSet presAssocID="{7394D793-BEAD-4CD4-B757-49FDD2A19595}" presName="theList" presStyleCnt="0"/>
      <dgm:spPr/>
    </dgm:pt>
    <dgm:pt modelId="{25418C5C-4A30-4D2C-BA9B-2C2A6623D20D}" type="pres">
      <dgm:prSet presAssocID="{201892DC-04DE-4289-BE09-7DF92E28F8C5}" presName="aNode" presStyleLbl="fgAcc1" presStyleIdx="0" presStyleCnt="3">
        <dgm:presLayoutVars>
          <dgm:bulletEnabled val="1"/>
        </dgm:presLayoutVars>
      </dgm:prSet>
      <dgm:spPr/>
      <dgm:t>
        <a:bodyPr/>
        <a:lstStyle/>
        <a:p>
          <a:endParaRPr lang="en-US"/>
        </a:p>
      </dgm:t>
    </dgm:pt>
    <dgm:pt modelId="{3683F869-8B73-42C4-99B5-D987F8BAF3ED}" type="pres">
      <dgm:prSet presAssocID="{201892DC-04DE-4289-BE09-7DF92E28F8C5}" presName="aSpace" presStyleCnt="0"/>
      <dgm:spPr/>
    </dgm:pt>
    <dgm:pt modelId="{DEAEB0C0-2B47-4918-B02D-F0E4CD55913C}" type="pres">
      <dgm:prSet presAssocID="{9C2B407D-96E0-4113-ACC0-A192DC902E71}" presName="aNode" presStyleLbl="fgAcc1" presStyleIdx="1" presStyleCnt="3">
        <dgm:presLayoutVars>
          <dgm:bulletEnabled val="1"/>
        </dgm:presLayoutVars>
      </dgm:prSet>
      <dgm:spPr/>
      <dgm:t>
        <a:bodyPr/>
        <a:lstStyle/>
        <a:p>
          <a:endParaRPr lang="en-US"/>
        </a:p>
      </dgm:t>
    </dgm:pt>
    <dgm:pt modelId="{511E9199-5E27-48C0-8B6A-184FBDD5FFCA}" type="pres">
      <dgm:prSet presAssocID="{9C2B407D-96E0-4113-ACC0-A192DC902E71}" presName="aSpace" presStyleCnt="0"/>
      <dgm:spPr/>
    </dgm:pt>
    <dgm:pt modelId="{982D8517-EA72-40AA-BC44-015EE6942A33}" type="pres">
      <dgm:prSet presAssocID="{AA3CF594-463F-4EA7-AE01-FB5AF3DA94EE}" presName="aNode" presStyleLbl="fgAcc1" presStyleIdx="2" presStyleCnt="3">
        <dgm:presLayoutVars>
          <dgm:bulletEnabled val="1"/>
        </dgm:presLayoutVars>
      </dgm:prSet>
      <dgm:spPr/>
      <dgm:t>
        <a:bodyPr/>
        <a:lstStyle/>
        <a:p>
          <a:endParaRPr lang="en-US"/>
        </a:p>
      </dgm:t>
    </dgm:pt>
    <dgm:pt modelId="{CC5DEB25-8DAC-41F4-A962-2CFAB4A3E6CE}" type="pres">
      <dgm:prSet presAssocID="{AA3CF594-463F-4EA7-AE01-FB5AF3DA94EE}" presName="aSpace" presStyleCnt="0"/>
      <dgm:spPr/>
    </dgm:pt>
  </dgm:ptLst>
  <dgm:cxnLst>
    <dgm:cxn modelId="{65D5B66B-393A-4209-B539-F1B7990B137D}" srcId="{7394D793-BEAD-4CD4-B757-49FDD2A19595}" destId="{9C2B407D-96E0-4113-ACC0-A192DC902E71}" srcOrd="1" destOrd="0" parTransId="{B69E8072-B78B-4F79-9A3D-17A738D4F25A}" sibTransId="{7C368A80-9047-4C27-846A-C2B9FF070AA7}"/>
    <dgm:cxn modelId="{B1F8F9F0-3D8F-455F-AF3D-EF78E7FD6B0B}" type="presOf" srcId="{7394D793-BEAD-4CD4-B757-49FDD2A19595}" destId="{2023096E-6291-44DC-8237-FE4C93AEEA4A}" srcOrd="0" destOrd="0" presId="urn:microsoft.com/office/officeart/2005/8/layout/pyramid2"/>
    <dgm:cxn modelId="{6070AF5B-A079-496B-B102-C619E99FFC76}" type="presOf" srcId="{201892DC-04DE-4289-BE09-7DF92E28F8C5}" destId="{25418C5C-4A30-4D2C-BA9B-2C2A6623D20D}" srcOrd="0" destOrd="0" presId="urn:microsoft.com/office/officeart/2005/8/layout/pyramid2"/>
    <dgm:cxn modelId="{0A9D05B8-3A27-44B6-A160-E4F48E28B4A1}" srcId="{7394D793-BEAD-4CD4-B757-49FDD2A19595}" destId="{201892DC-04DE-4289-BE09-7DF92E28F8C5}" srcOrd="0" destOrd="0" parTransId="{C6C2BAAA-0DA1-4EF1-827F-6B272D6CB46C}" sibTransId="{8A671A97-3383-46E9-B8D3-C812ACBB099B}"/>
    <dgm:cxn modelId="{19C6E575-6B01-49A8-BD37-7974A885A5FD}" type="presOf" srcId="{AA3CF594-463F-4EA7-AE01-FB5AF3DA94EE}" destId="{982D8517-EA72-40AA-BC44-015EE6942A33}" srcOrd="0" destOrd="0" presId="urn:microsoft.com/office/officeart/2005/8/layout/pyramid2"/>
    <dgm:cxn modelId="{C0AC6813-3A76-4D30-9277-B89348A00DA8}" srcId="{7394D793-BEAD-4CD4-B757-49FDD2A19595}" destId="{AA3CF594-463F-4EA7-AE01-FB5AF3DA94EE}" srcOrd="2" destOrd="0" parTransId="{C8738715-96E4-45D6-92E4-9E8A751E4CFF}" sibTransId="{C2261C52-1BC3-4F6D-871E-86735C7492F5}"/>
    <dgm:cxn modelId="{87687377-8126-49B0-8ABE-43D2B9997070}" type="presOf" srcId="{9C2B407D-96E0-4113-ACC0-A192DC902E71}" destId="{DEAEB0C0-2B47-4918-B02D-F0E4CD55913C}" srcOrd="0" destOrd="0" presId="urn:microsoft.com/office/officeart/2005/8/layout/pyramid2"/>
    <dgm:cxn modelId="{D7C5E40F-5275-4688-B235-43AF3DC276EB}" type="presParOf" srcId="{2023096E-6291-44DC-8237-FE4C93AEEA4A}" destId="{10B7C96D-2E25-4EAA-9A05-5C606DFED37D}" srcOrd="0" destOrd="0" presId="urn:microsoft.com/office/officeart/2005/8/layout/pyramid2"/>
    <dgm:cxn modelId="{A999CE81-9344-4BBB-84C9-05788046F047}" type="presParOf" srcId="{2023096E-6291-44DC-8237-FE4C93AEEA4A}" destId="{DFAC2CCA-6AE5-400B-A764-8873FA619AA4}" srcOrd="1" destOrd="0" presId="urn:microsoft.com/office/officeart/2005/8/layout/pyramid2"/>
    <dgm:cxn modelId="{354431C7-AFC6-4C9D-A9A0-A406AEBB1F3E}" type="presParOf" srcId="{DFAC2CCA-6AE5-400B-A764-8873FA619AA4}" destId="{25418C5C-4A30-4D2C-BA9B-2C2A6623D20D}" srcOrd="0" destOrd="0" presId="urn:microsoft.com/office/officeart/2005/8/layout/pyramid2"/>
    <dgm:cxn modelId="{07073FD6-132B-43F0-AAB5-41D409EEDF29}" type="presParOf" srcId="{DFAC2CCA-6AE5-400B-A764-8873FA619AA4}" destId="{3683F869-8B73-42C4-99B5-D987F8BAF3ED}" srcOrd="1" destOrd="0" presId="urn:microsoft.com/office/officeart/2005/8/layout/pyramid2"/>
    <dgm:cxn modelId="{BC5BD314-FD56-4A4A-B7B9-DBFE35B1525D}" type="presParOf" srcId="{DFAC2CCA-6AE5-400B-A764-8873FA619AA4}" destId="{DEAEB0C0-2B47-4918-B02D-F0E4CD55913C}" srcOrd="2" destOrd="0" presId="urn:microsoft.com/office/officeart/2005/8/layout/pyramid2"/>
    <dgm:cxn modelId="{8DDA8884-B49A-4F08-9C04-FCA9CA592DF6}" type="presParOf" srcId="{DFAC2CCA-6AE5-400B-A764-8873FA619AA4}" destId="{511E9199-5E27-48C0-8B6A-184FBDD5FFCA}" srcOrd="3" destOrd="0" presId="urn:microsoft.com/office/officeart/2005/8/layout/pyramid2"/>
    <dgm:cxn modelId="{0E5A29EE-AE2D-4585-93C8-EBA1FAC90885}" type="presParOf" srcId="{DFAC2CCA-6AE5-400B-A764-8873FA619AA4}" destId="{982D8517-EA72-40AA-BC44-015EE6942A33}" srcOrd="4" destOrd="0" presId="urn:microsoft.com/office/officeart/2005/8/layout/pyramid2"/>
    <dgm:cxn modelId="{52410E0F-8C50-45A5-B1B6-D09EB1E2BA1E}" type="presParOf" srcId="{DFAC2CCA-6AE5-400B-A764-8873FA619AA4}" destId="{CC5DEB25-8DAC-41F4-A962-2CFAB4A3E6CE}" srcOrd="5" destOrd="0" presId="urn:microsoft.com/office/officeart/2005/8/layout/pyramid2"/>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11899886-D10A-4EEB-9C0F-D08061EF95F5}" type="doc">
      <dgm:prSet loTypeId="urn:microsoft.com/office/officeart/2005/8/layout/vProcess5" loCatId="process" qsTypeId="urn:microsoft.com/office/officeart/2005/8/quickstyle/simple1" qsCatId="simple" csTypeId="urn:microsoft.com/office/officeart/2005/8/colors/accent6_3" csCatId="accent6" phldr="1"/>
      <dgm:spPr/>
    </dgm:pt>
    <dgm:pt modelId="{65D852E9-4148-4274-9881-E0067851382B}">
      <dgm:prSet phldrT="[文字]" custT="1"/>
      <dgm:spPr/>
      <dgm:t>
        <a:bodyPr/>
        <a:lstStyle/>
        <a:p>
          <a:pPr algn="l"/>
          <a:r>
            <a:rPr lang="en-US" sz="1400"/>
            <a:t>Identifying environmental risks: </a:t>
          </a:r>
          <a:r>
            <a:rPr lang="en-US" altLang="zh-TW" sz="1400"/>
            <a:t>D</a:t>
          </a:r>
          <a:r>
            <a:rPr lang="zh-TW" sz="1400"/>
            <a:t>efine material environmental risks</a:t>
          </a:r>
          <a:r>
            <a:rPr lang="en-US" altLang="zh-TW" sz="1400"/>
            <a:t> in industries</a:t>
          </a:r>
          <a:endParaRPr lang="zh-TW" altLang="en-US" sz="1400"/>
        </a:p>
      </dgm:t>
    </dgm:pt>
    <dgm:pt modelId="{47E4CA1F-C183-46CD-BFA6-E5E5610D87F3}" type="parTrans" cxnId="{F49B4353-30B6-4948-B7FF-1626E33B152F}">
      <dgm:prSet/>
      <dgm:spPr/>
      <dgm:t>
        <a:bodyPr/>
        <a:lstStyle/>
        <a:p>
          <a:pPr algn="l"/>
          <a:endParaRPr lang="zh-TW" altLang="en-US"/>
        </a:p>
      </dgm:t>
    </dgm:pt>
    <dgm:pt modelId="{7D132F3D-4A71-4C8B-A6DC-0E67FA1C4704}" type="sibTrans" cxnId="{F49B4353-30B6-4948-B7FF-1626E33B152F}">
      <dgm:prSet/>
      <dgm:spPr/>
      <dgm:t>
        <a:bodyPr/>
        <a:lstStyle/>
        <a:p>
          <a:pPr algn="l"/>
          <a:endParaRPr lang="zh-TW" altLang="en-US"/>
        </a:p>
      </dgm:t>
    </dgm:pt>
    <dgm:pt modelId="{04F3B967-C301-45CB-ACF6-EAB2BB05C218}">
      <dgm:prSet phldrT="[文字]" custT="1"/>
      <dgm:spPr/>
      <dgm:t>
        <a:bodyPr/>
        <a:lstStyle/>
        <a:p>
          <a:pPr algn="l"/>
          <a:r>
            <a:rPr lang="en-US" sz="1400" b="0"/>
            <a:t>Assessing environmental risks: Reviewing environmental risks; Conducting scenario analysis and stress testing  </a:t>
          </a:r>
          <a:endParaRPr lang="zh-TW" altLang="en-US" sz="1400" b="0"/>
        </a:p>
      </dgm:t>
    </dgm:pt>
    <dgm:pt modelId="{82ACB26F-32AB-456D-AF2D-E24854398EA9}" type="parTrans" cxnId="{5F871752-16BE-4D3D-A8A3-F2A1078EECE9}">
      <dgm:prSet/>
      <dgm:spPr/>
      <dgm:t>
        <a:bodyPr/>
        <a:lstStyle/>
        <a:p>
          <a:pPr algn="l"/>
          <a:endParaRPr lang="zh-TW" altLang="en-US"/>
        </a:p>
      </dgm:t>
    </dgm:pt>
    <dgm:pt modelId="{2DF4D1D7-FE4F-4FEF-AFA9-483C0BD0EFBE}" type="sibTrans" cxnId="{5F871752-16BE-4D3D-A8A3-F2A1078EECE9}">
      <dgm:prSet/>
      <dgm:spPr/>
      <dgm:t>
        <a:bodyPr/>
        <a:lstStyle/>
        <a:p>
          <a:pPr algn="l"/>
          <a:endParaRPr lang="zh-TW" altLang="en-US"/>
        </a:p>
      </dgm:t>
    </dgm:pt>
    <dgm:pt modelId="{0D60CD76-27E0-4803-B7E0-2710432BEE81}">
      <dgm:prSet phldrT="[文字]" custT="1"/>
      <dgm:spPr/>
      <dgm:t>
        <a:bodyPr/>
        <a:lstStyle/>
        <a:p>
          <a:pPr algn="l"/>
          <a:r>
            <a:rPr lang="en-US" sz="1400"/>
            <a:t>Managinging environmental risks: Client engagement</a:t>
          </a:r>
          <a:endParaRPr lang="zh-TW" altLang="en-US" sz="1400"/>
        </a:p>
      </dgm:t>
    </dgm:pt>
    <dgm:pt modelId="{BB03AF19-F033-4D48-9505-C853767ED7CF}" type="parTrans" cxnId="{E5611FC7-FFC3-4285-9292-41391332EEEF}">
      <dgm:prSet/>
      <dgm:spPr/>
      <dgm:t>
        <a:bodyPr/>
        <a:lstStyle/>
        <a:p>
          <a:pPr algn="l"/>
          <a:endParaRPr lang="zh-TW" altLang="en-US"/>
        </a:p>
      </dgm:t>
    </dgm:pt>
    <dgm:pt modelId="{99831B92-A213-485E-87B4-97437C63ED81}" type="sibTrans" cxnId="{E5611FC7-FFC3-4285-9292-41391332EEEF}">
      <dgm:prSet/>
      <dgm:spPr/>
      <dgm:t>
        <a:bodyPr/>
        <a:lstStyle/>
        <a:p>
          <a:pPr algn="l"/>
          <a:endParaRPr lang="zh-TW" altLang="en-US"/>
        </a:p>
      </dgm:t>
    </dgm:pt>
    <dgm:pt modelId="{2A322D74-4647-4CCD-80A0-D3E3CCF7B8F4}">
      <dgm:prSet custT="1"/>
      <dgm:spPr/>
      <dgm:t>
        <a:bodyPr/>
        <a:lstStyle/>
        <a:p>
          <a:pPr algn="l"/>
          <a:r>
            <a:rPr lang="en-US" sz="1400"/>
            <a:t>Monitoring </a:t>
          </a:r>
          <a:r>
            <a:rPr lang="zh-TW" sz="1400"/>
            <a:t>environmental risks</a:t>
          </a:r>
          <a:endParaRPr lang="zh-TW" altLang="en-US" sz="1400"/>
        </a:p>
      </dgm:t>
    </dgm:pt>
    <dgm:pt modelId="{28EB96D5-254A-4EF1-A677-B1154B64AA16}" type="parTrans" cxnId="{3D277C1B-EC03-440F-A503-3A242399F7E2}">
      <dgm:prSet/>
      <dgm:spPr/>
      <dgm:t>
        <a:bodyPr/>
        <a:lstStyle/>
        <a:p>
          <a:pPr algn="l"/>
          <a:endParaRPr lang="zh-TW" altLang="en-US"/>
        </a:p>
      </dgm:t>
    </dgm:pt>
    <dgm:pt modelId="{8D2A1AB9-A479-4692-88B7-4575C83B4811}" type="sibTrans" cxnId="{3D277C1B-EC03-440F-A503-3A242399F7E2}">
      <dgm:prSet/>
      <dgm:spPr/>
      <dgm:t>
        <a:bodyPr/>
        <a:lstStyle/>
        <a:p>
          <a:pPr algn="l"/>
          <a:endParaRPr lang="zh-TW" altLang="en-US"/>
        </a:p>
      </dgm:t>
    </dgm:pt>
    <dgm:pt modelId="{28F33AE2-244C-4E87-805A-C6291843D4E4}" type="pres">
      <dgm:prSet presAssocID="{11899886-D10A-4EEB-9C0F-D08061EF95F5}" presName="outerComposite" presStyleCnt="0">
        <dgm:presLayoutVars>
          <dgm:chMax val="5"/>
          <dgm:dir/>
          <dgm:resizeHandles val="exact"/>
        </dgm:presLayoutVars>
      </dgm:prSet>
      <dgm:spPr/>
    </dgm:pt>
    <dgm:pt modelId="{77E97B1C-7917-45C3-B804-DB1B727CEF77}" type="pres">
      <dgm:prSet presAssocID="{11899886-D10A-4EEB-9C0F-D08061EF95F5}" presName="dummyMaxCanvas" presStyleCnt="0">
        <dgm:presLayoutVars/>
      </dgm:prSet>
      <dgm:spPr/>
    </dgm:pt>
    <dgm:pt modelId="{7041D697-21BB-421D-A827-7E988204F81C}" type="pres">
      <dgm:prSet presAssocID="{11899886-D10A-4EEB-9C0F-D08061EF95F5}" presName="FourNodes_1" presStyleLbl="node1" presStyleIdx="0" presStyleCnt="4" custScaleX="100699">
        <dgm:presLayoutVars>
          <dgm:bulletEnabled val="1"/>
        </dgm:presLayoutVars>
      </dgm:prSet>
      <dgm:spPr/>
      <dgm:t>
        <a:bodyPr/>
        <a:lstStyle/>
        <a:p>
          <a:endParaRPr lang="en-US"/>
        </a:p>
      </dgm:t>
    </dgm:pt>
    <dgm:pt modelId="{5CFD8EF8-1139-4237-A51F-D2B2FBCD902B}" type="pres">
      <dgm:prSet presAssocID="{11899886-D10A-4EEB-9C0F-D08061EF95F5}" presName="FourNodes_2" presStyleLbl="node1" presStyleIdx="1" presStyleCnt="4">
        <dgm:presLayoutVars>
          <dgm:bulletEnabled val="1"/>
        </dgm:presLayoutVars>
      </dgm:prSet>
      <dgm:spPr/>
      <dgm:t>
        <a:bodyPr/>
        <a:lstStyle/>
        <a:p>
          <a:endParaRPr lang="en-US"/>
        </a:p>
      </dgm:t>
    </dgm:pt>
    <dgm:pt modelId="{D3301BA0-E969-4956-A884-9E1EA3B6C5E9}" type="pres">
      <dgm:prSet presAssocID="{11899886-D10A-4EEB-9C0F-D08061EF95F5}" presName="FourNodes_3" presStyleLbl="node1" presStyleIdx="2" presStyleCnt="4">
        <dgm:presLayoutVars>
          <dgm:bulletEnabled val="1"/>
        </dgm:presLayoutVars>
      </dgm:prSet>
      <dgm:spPr/>
      <dgm:t>
        <a:bodyPr/>
        <a:lstStyle/>
        <a:p>
          <a:endParaRPr lang="en-US"/>
        </a:p>
      </dgm:t>
    </dgm:pt>
    <dgm:pt modelId="{ADD22977-A521-48EC-872B-D253AF3FC125}" type="pres">
      <dgm:prSet presAssocID="{11899886-D10A-4EEB-9C0F-D08061EF95F5}" presName="FourNodes_4" presStyleLbl="node1" presStyleIdx="3" presStyleCnt="4">
        <dgm:presLayoutVars>
          <dgm:bulletEnabled val="1"/>
        </dgm:presLayoutVars>
      </dgm:prSet>
      <dgm:spPr/>
      <dgm:t>
        <a:bodyPr/>
        <a:lstStyle/>
        <a:p>
          <a:endParaRPr lang="en-US"/>
        </a:p>
      </dgm:t>
    </dgm:pt>
    <dgm:pt modelId="{274659D6-689C-4196-BA26-31B7620EE81E}" type="pres">
      <dgm:prSet presAssocID="{11899886-D10A-4EEB-9C0F-D08061EF95F5}" presName="FourConn_1-2" presStyleLbl="fgAccFollowNode1" presStyleIdx="0" presStyleCnt="3">
        <dgm:presLayoutVars>
          <dgm:bulletEnabled val="1"/>
        </dgm:presLayoutVars>
      </dgm:prSet>
      <dgm:spPr/>
      <dgm:t>
        <a:bodyPr/>
        <a:lstStyle/>
        <a:p>
          <a:endParaRPr lang="en-US"/>
        </a:p>
      </dgm:t>
    </dgm:pt>
    <dgm:pt modelId="{15EA99F2-CDCB-485E-8A59-E24020BC7025}" type="pres">
      <dgm:prSet presAssocID="{11899886-D10A-4EEB-9C0F-D08061EF95F5}" presName="FourConn_2-3" presStyleLbl="fgAccFollowNode1" presStyleIdx="1" presStyleCnt="3">
        <dgm:presLayoutVars>
          <dgm:bulletEnabled val="1"/>
        </dgm:presLayoutVars>
      </dgm:prSet>
      <dgm:spPr/>
      <dgm:t>
        <a:bodyPr/>
        <a:lstStyle/>
        <a:p>
          <a:endParaRPr lang="en-US"/>
        </a:p>
      </dgm:t>
    </dgm:pt>
    <dgm:pt modelId="{9F85D46F-6428-463E-B90E-08B5F8775833}" type="pres">
      <dgm:prSet presAssocID="{11899886-D10A-4EEB-9C0F-D08061EF95F5}" presName="FourConn_3-4" presStyleLbl="fgAccFollowNode1" presStyleIdx="2" presStyleCnt="3">
        <dgm:presLayoutVars>
          <dgm:bulletEnabled val="1"/>
        </dgm:presLayoutVars>
      </dgm:prSet>
      <dgm:spPr/>
      <dgm:t>
        <a:bodyPr/>
        <a:lstStyle/>
        <a:p>
          <a:endParaRPr lang="en-US"/>
        </a:p>
      </dgm:t>
    </dgm:pt>
    <dgm:pt modelId="{C988348C-6319-4403-B188-D2C73C1C2A14}" type="pres">
      <dgm:prSet presAssocID="{11899886-D10A-4EEB-9C0F-D08061EF95F5}" presName="FourNodes_1_text" presStyleLbl="node1" presStyleIdx="3" presStyleCnt="4">
        <dgm:presLayoutVars>
          <dgm:bulletEnabled val="1"/>
        </dgm:presLayoutVars>
      </dgm:prSet>
      <dgm:spPr/>
      <dgm:t>
        <a:bodyPr/>
        <a:lstStyle/>
        <a:p>
          <a:endParaRPr lang="en-US"/>
        </a:p>
      </dgm:t>
    </dgm:pt>
    <dgm:pt modelId="{4B10A555-20F6-47CD-A1BB-DCA378C13081}" type="pres">
      <dgm:prSet presAssocID="{11899886-D10A-4EEB-9C0F-D08061EF95F5}" presName="FourNodes_2_text" presStyleLbl="node1" presStyleIdx="3" presStyleCnt="4">
        <dgm:presLayoutVars>
          <dgm:bulletEnabled val="1"/>
        </dgm:presLayoutVars>
      </dgm:prSet>
      <dgm:spPr/>
      <dgm:t>
        <a:bodyPr/>
        <a:lstStyle/>
        <a:p>
          <a:endParaRPr lang="en-US"/>
        </a:p>
      </dgm:t>
    </dgm:pt>
    <dgm:pt modelId="{4141A3B5-E6E5-419D-9B4D-9DA64B8B095A}" type="pres">
      <dgm:prSet presAssocID="{11899886-D10A-4EEB-9C0F-D08061EF95F5}" presName="FourNodes_3_text" presStyleLbl="node1" presStyleIdx="3" presStyleCnt="4">
        <dgm:presLayoutVars>
          <dgm:bulletEnabled val="1"/>
        </dgm:presLayoutVars>
      </dgm:prSet>
      <dgm:spPr/>
      <dgm:t>
        <a:bodyPr/>
        <a:lstStyle/>
        <a:p>
          <a:endParaRPr lang="en-US"/>
        </a:p>
      </dgm:t>
    </dgm:pt>
    <dgm:pt modelId="{208CDF48-4D8A-4EA9-92A7-9A9C39EE1D45}" type="pres">
      <dgm:prSet presAssocID="{11899886-D10A-4EEB-9C0F-D08061EF95F5}" presName="FourNodes_4_text" presStyleLbl="node1" presStyleIdx="3" presStyleCnt="4">
        <dgm:presLayoutVars>
          <dgm:bulletEnabled val="1"/>
        </dgm:presLayoutVars>
      </dgm:prSet>
      <dgm:spPr/>
      <dgm:t>
        <a:bodyPr/>
        <a:lstStyle/>
        <a:p>
          <a:endParaRPr lang="en-US"/>
        </a:p>
      </dgm:t>
    </dgm:pt>
  </dgm:ptLst>
  <dgm:cxnLst>
    <dgm:cxn modelId="{68983C82-2BC9-48EA-AE85-9E218434D89E}" type="presOf" srcId="{99831B92-A213-485E-87B4-97437C63ED81}" destId="{9F85D46F-6428-463E-B90E-08B5F8775833}" srcOrd="0" destOrd="0" presId="urn:microsoft.com/office/officeart/2005/8/layout/vProcess5"/>
    <dgm:cxn modelId="{3D277C1B-EC03-440F-A503-3A242399F7E2}" srcId="{11899886-D10A-4EEB-9C0F-D08061EF95F5}" destId="{2A322D74-4647-4CCD-80A0-D3E3CCF7B8F4}" srcOrd="3" destOrd="0" parTransId="{28EB96D5-254A-4EF1-A677-B1154B64AA16}" sibTransId="{8D2A1AB9-A479-4692-88B7-4575C83B4811}"/>
    <dgm:cxn modelId="{C5C4A912-E9E5-40B6-944D-B68CC68E48AD}" type="presOf" srcId="{0D60CD76-27E0-4803-B7E0-2710432BEE81}" destId="{D3301BA0-E969-4956-A884-9E1EA3B6C5E9}" srcOrd="0" destOrd="0" presId="urn:microsoft.com/office/officeart/2005/8/layout/vProcess5"/>
    <dgm:cxn modelId="{3119509F-67CF-4ABD-842E-C186BA0A7C54}" type="presOf" srcId="{0D60CD76-27E0-4803-B7E0-2710432BEE81}" destId="{4141A3B5-E6E5-419D-9B4D-9DA64B8B095A}" srcOrd="1" destOrd="0" presId="urn:microsoft.com/office/officeart/2005/8/layout/vProcess5"/>
    <dgm:cxn modelId="{1C3A1D0F-CFE2-4377-8405-441B914290FD}" type="presOf" srcId="{11899886-D10A-4EEB-9C0F-D08061EF95F5}" destId="{28F33AE2-244C-4E87-805A-C6291843D4E4}" srcOrd="0" destOrd="0" presId="urn:microsoft.com/office/officeart/2005/8/layout/vProcess5"/>
    <dgm:cxn modelId="{1055C819-1FA5-494C-B3A5-11CB95A9AF97}" type="presOf" srcId="{65D852E9-4148-4274-9881-E0067851382B}" destId="{C988348C-6319-4403-B188-D2C73C1C2A14}" srcOrd="1" destOrd="0" presId="urn:microsoft.com/office/officeart/2005/8/layout/vProcess5"/>
    <dgm:cxn modelId="{24C97927-BF6D-4DFA-AF34-B247A82F683A}" type="presOf" srcId="{04F3B967-C301-45CB-ACF6-EAB2BB05C218}" destId="{5CFD8EF8-1139-4237-A51F-D2B2FBCD902B}" srcOrd="0" destOrd="0" presId="urn:microsoft.com/office/officeart/2005/8/layout/vProcess5"/>
    <dgm:cxn modelId="{30C71BD9-6F82-4A3E-A841-DCBCAF67A3C9}" type="presOf" srcId="{2DF4D1D7-FE4F-4FEF-AFA9-483C0BD0EFBE}" destId="{15EA99F2-CDCB-485E-8A59-E24020BC7025}" srcOrd="0" destOrd="0" presId="urn:microsoft.com/office/officeart/2005/8/layout/vProcess5"/>
    <dgm:cxn modelId="{584A0F47-532B-4DC5-820D-BB31C6639E4C}" type="presOf" srcId="{04F3B967-C301-45CB-ACF6-EAB2BB05C218}" destId="{4B10A555-20F6-47CD-A1BB-DCA378C13081}" srcOrd="1" destOrd="0" presId="urn:microsoft.com/office/officeart/2005/8/layout/vProcess5"/>
    <dgm:cxn modelId="{E5611FC7-FFC3-4285-9292-41391332EEEF}" srcId="{11899886-D10A-4EEB-9C0F-D08061EF95F5}" destId="{0D60CD76-27E0-4803-B7E0-2710432BEE81}" srcOrd="2" destOrd="0" parTransId="{BB03AF19-F033-4D48-9505-C853767ED7CF}" sibTransId="{99831B92-A213-485E-87B4-97437C63ED81}"/>
    <dgm:cxn modelId="{28389170-2E02-47EC-8736-7367CD26BBB6}" type="presOf" srcId="{2A322D74-4647-4CCD-80A0-D3E3CCF7B8F4}" destId="{208CDF48-4D8A-4EA9-92A7-9A9C39EE1D45}" srcOrd="1" destOrd="0" presId="urn:microsoft.com/office/officeart/2005/8/layout/vProcess5"/>
    <dgm:cxn modelId="{31F17E37-D226-4879-8994-E1E3FAEA4C35}" type="presOf" srcId="{7D132F3D-4A71-4C8B-A6DC-0E67FA1C4704}" destId="{274659D6-689C-4196-BA26-31B7620EE81E}" srcOrd="0" destOrd="0" presId="urn:microsoft.com/office/officeart/2005/8/layout/vProcess5"/>
    <dgm:cxn modelId="{5F871752-16BE-4D3D-A8A3-F2A1078EECE9}" srcId="{11899886-D10A-4EEB-9C0F-D08061EF95F5}" destId="{04F3B967-C301-45CB-ACF6-EAB2BB05C218}" srcOrd="1" destOrd="0" parTransId="{82ACB26F-32AB-456D-AF2D-E24854398EA9}" sibTransId="{2DF4D1D7-FE4F-4FEF-AFA9-483C0BD0EFBE}"/>
    <dgm:cxn modelId="{F49B4353-30B6-4948-B7FF-1626E33B152F}" srcId="{11899886-D10A-4EEB-9C0F-D08061EF95F5}" destId="{65D852E9-4148-4274-9881-E0067851382B}" srcOrd="0" destOrd="0" parTransId="{47E4CA1F-C183-46CD-BFA6-E5E5610D87F3}" sibTransId="{7D132F3D-4A71-4C8B-A6DC-0E67FA1C4704}"/>
    <dgm:cxn modelId="{ED73EF3E-F901-4C4C-9A24-7A34ACAABD6A}" type="presOf" srcId="{2A322D74-4647-4CCD-80A0-D3E3CCF7B8F4}" destId="{ADD22977-A521-48EC-872B-D253AF3FC125}" srcOrd="0" destOrd="0" presId="urn:microsoft.com/office/officeart/2005/8/layout/vProcess5"/>
    <dgm:cxn modelId="{C0D548E1-E0FC-400F-B9C5-1A60DF00CDAF}" type="presOf" srcId="{65D852E9-4148-4274-9881-E0067851382B}" destId="{7041D697-21BB-421D-A827-7E988204F81C}" srcOrd="0" destOrd="0" presId="urn:microsoft.com/office/officeart/2005/8/layout/vProcess5"/>
    <dgm:cxn modelId="{4F20BCE4-9E86-4CB2-8343-38C27C657EFE}" type="presParOf" srcId="{28F33AE2-244C-4E87-805A-C6291843D4E4}" destId="{77E97B1C-7917-45C3-B804-DB1B727CEF77}" srcOrd="0" destOrd="0" presId="urn:microsoft.com/office/officeart/2005/8/layout/vProcess5"/>
    <dgm:cxn modelId="{9BCD95C3-674F-442A-BAA0-DE8307BD6CC6}" type="presParOf" srcId="{28F33AE2-244C-4E87-805A-C6291843D4E4}" destId="{7041D697-21BB-421D-A827-7E988204F81C}" srcOrd="1" destOrd="0" presId="urn:microsoft.com/office/officeart/2005/8/layout/vProcess5"/>
    <dgm:cxn modelId="{FF0FA4B3-2C57-46F6-B29D-1354123103F0}" type="presParOf" srcId="{28F33AE2-244C-4E87-805A-C6291843D4E4}" destId="{5CFD8EF8-1139-4237-A51F-D2B2FBCD902B}" srcOrd="2" destOrd="0" presId="urn:microsoft.com/office/officeart/2005/8/layout/vProcess5"/>
    <dgm:cxn modelId="{129DA77D-216B-4796-8B4F-D79A4A00CEEA}" type="presParOf" srcId="{28F33AE2-244C-4E87-805A-C6291843D4E4}" destId="{D3301BA0-E969-4956-A884-9E1EA3B6C5E9}" srcOrd="3" destOrd="0" presId="urn:microsoft.com/office/officeart/2005/8/layout/vProcess5"/>
    <dgm:cxn modelId="{4D46041A-B69E-4CF9-9B31-051F834E5541}" type="presParOf" srcId="{28F33AE2-244C-4E87-805A-C6291843D4E4}" destId="{ADD22977-A521-48EC-872B-D253AF3FC125}" srcOrd="4" destOrd="0" presId="urn:microsoft.com/office/officeart/2005/8/layout/vProcess5"/>
    <dgm:cxn modelId="{B8464E1A-5AD4-4060-AAAF-11455167B9B9}" type="presParOf" srcId="{28F33AE2-244C-4E87-805A-C6291843D4E4}" destId="{274659D6-689C-4196-BA26-31B7620EE81E}" srcOrd="5" destOrd="0" presId="urn:microsoft.com/office/officeart/2005/8/layout/vProcess5"/>
    <dgm:cxn modelId="{77A42427-39D0-4001-AFBF-51D3A67FC016}" type="presParOf" srcId="{28F33AE2-244C-4E87-805A-C6291843D4E4}" destId="{15EA99F2-CDCB-485E-8A59-E24020BC7025}" srcOrd="6" destOrd="0" presId="urn:microsoft.com/office/officeart/2005/8/layout/vProcess5"/>
    <dgm:cxn modelId="{AB265BC2-20DC-4806-9E06-63E06FD47C1B}" type="presParOf" srcId="{28F33AE2-244C-4E87-805A-C6291843D4E4}" destId="{9F85D46F-6428-463E-B90E-08B5F8775833}" srcOrd="7" destOrd="0" presId="urn:microsoft.com/office/officeart/2005/8/layout/vProcess5"/>
    <dgm:cxn modelId="{34CCAA44-E519-4805-85F4-A134F99D7A9A}" type="presParOf" srcId="{28F33AE2-244C-4E87-805A-C6291843D4E4}" destId="{C988348C-6319-4403-B188-D2C73C1C2A14}" srcOrd="8" destOrd="0" presId="urn:microsoft.com/office/officeart/2005/8/layout/vProcess5"/>
    <dgm:cxn modelId="{DFD1BC04-D3CB-471C-9A30-A131AA3EB119}" type="presParOf" srcId="{28F33AE2-244C-4E87-805A-C6291843D4E4}" destId="{4B10A555-20F6-47CD-A1BB-DCA378C13081}" srcOrd="9" destOrd="0" presId="urn:microsoft.com/office/officeart/2005/8/layout/vProcess5"/>
    <dgm:cxn modelId="{243F2192-84DB-43DE-90BC-063FF7F67AA6}" type="presParOf" srcId="{28F33AE2-244C-4E87-805A-C6291843D4E4}" destId="{4141A3B5-E6E5-419D-9B4D-9DA64B8B095A}" srcOrd="10" destOrd="0" presId="urn:microsoft.com/office/officeart/2005/8/layout/vProcess5"/>
    <dgm:cxn modelId="{4B1CC56D-EBF1-4C56-BD2C-A400E9B9C4E3}" type="presParOf" srcId="{28F33AE2-244C-4E87-805A-C6291843D4E4}" destId="{208CDF48-4D8A-4EA9-92A7-9A9C39EE1D45}" srcOrd="11" destOrd="0" presId="urn:microsoft.com/office/officeart/2005/8/layout/vProcess5"/>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B7C96D-2E25-4EAA-9A05-5C606DFED37D}">
      <dsp:nvSpPr>
        <dsp:cNvPr id="0" name=""/>
        <dsp:cNvSpPr/>
      </dsp:nvSpPr>
      <dsp:spPr>
        <a:xfrm>
          <a:off x="898842" y="0"/>
          <a:ext cx="2578100" cy="2578100"/>
        </a:xfrm>
        <a:prstGeom prst="triangle">
          <a:avLst/>
        </a:prstGeom>
        <a:solidFill>
          <a:schemeClr val="accent6">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5418C5C-4A30-4D2C-BA9B-2C2A6623D20D}">
      <dsp:nvSpPr>
        <dsp:cNvPr id="0" name=""/>
        <dsp:cNvSpPr/>
      </dsp:nvSpPr>
      <dsp:spPr>
        <a:xfrm>
          <a:off x="2187892" y="259194"/>
          <a:ext cx="1675765" cy="610284"/>
        </a:xfrm>
        <a:prstGeom prst="roundRect">
          <a:avLst/>
        </a:prstGeom>
        <a:solidFill>
          <a:schemeClr val="lt1">
            <a:alpha val="90000"/>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b="1" kern="1200"/>
            <a:t>Third Line of Defence</a:t>
          </a:r>
          <a:r>
            <a:rPr lang="en-US" sz="1100" kern="1200"/>
            <a:t>: Group Internal Audit </a:t>
          </a:r>
          <a:endParaRPr lang="zh-TW" altLang="en-US" sz="1100" kern="1200"/>
        </a:p>
      </dsp:txBody>
      <dsp:txXfrm>
        <a:off x="2217684" y="288986"/>
        <a:ext cx="1616181" cy="550700"/>
      </dsp:txXfrm>
    </dsp:sp>
    <dsp:sp modelId="{DEAEB0C0-2B47-4918-B02D-F0E4CD55913C}">
      <dsp:nvSpPr>
        <dsp:cNvPr id="0" name=""/>
        <dsp:cNvSpPr/>
      </dsp:nvSpPr>
      <dsp:spPr>
        <a:xfrm>
          <a:off x="2187892" y="945764"/>
          <a:ext cx="1675765" cy="610284"/>
        </a:xfrm>
        <a:prstGeom prst="roundRect">
          <a:avLst/>
        </a:prstGeom>
        <a:solidFill>
          <a:schemeClr val="lt1">
            <a:alpha val="90000"/>
            <a:hueOff val="0"/>
            <a:satOff val="0"/>
            <a:lumOff val="0"/>
            <a:alphaOff val="0"/>
          </a:schemeClr>
        </a:solidFill>
        <a:ln w="12700" cap="flat" cmpd="sng" algn="ctr">
          <a:solidFill>
            <a:schemeClr val="accent6">
              <a:shade val="80000"/>
              <a:hueOff val="160640"/>
              <a:satOff val="-6455"/>
              <a:lumOff val="1381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b="1" kern="1200"/>
            <a:t>Second Line of Defence:</a:t>
          </a:r>
          <a:r>
            <a:rPr lang="en-US" sz="1100" kern="1200"/>
            <a:t> Loans Committee and Compliance Department </a:t>
          </a:r>
          <a:endParaRPr lang="zh-TW" altLang="en-US" sz="1100" kern="1200"/>
        </a:p>
      </dsp:txBody>
      <dsp:txXfrm>
        <a:off x="2217684" y="975556"/>
        <a:ext cx="1616181" cy="550700"/>
      </dsp:txXfrm>
    </dsp:sp>
    <dsp:sp modelId="{982D8517-EA72-40AA-BC44-015EE6942A33}">
      <dsp:nvSpPr>
        <dsp:cNvPr id="0" name=""/>
        <dsp:cNvSpPr/>
      </dsp:nvSpPr>
      <dsp:spPr>
        <a:xfrm>
          <a:off x="2187892" y="1632335"/>
          <a:ext cx="1675765" cy="610284"/>
        </a:xfrm>
        <a:prstGeom prst="roundRect">
          <a:avLst/>
        </a:prstGeom>
        <a:solidFill>
          <a:schemeClr val="lt1">
            <a:alpha val="90000"/>
            <a:hueOff val="0"/>
            <a:satOff val="0"/>
            <a:lumOff val="0"/>
            <a:alphaOff val="0"/>
          </a:schemeClr>
        </a:solidFill>
        <a:ln w="12700" cap="flat" cmpd="sng" algn="ctr">
          <a:solidFill>
            <a:schemeClr val="accent6">
              <a:shade val="80000"/>
              <a:hueOff val="321280"/>
              <a:satOff val="-12909"/>
              <a:lumOff val="276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altLang="en-US" sz="1100" b="1" kern="1200"/>
            <a:t>First Line of Defence:</a:t>
          </a:r>
          <a:r>
            <a:rPr lang="en-US" altLang="en-US" sz="1100" kern="1200"/>
            <a:t> </a:t>
          </a:r>
          <a:r>
            <a:rPr lang="en-US" altLang="zh-TW" sz="1100" kern="1200"/>
            <a:t>Loan Department</a:t>
          </a:r>
          <a:endParaRPr lang="zh-TW" altLang="en-US" sz="1100" kern="1200"/>
        </a:p>
      </dsp:txBody>
      <dsp:txXfrm>
        <a:off x="2217684" y="1662127"/>
        <a:ext cx="1616181" cy="5507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41D697-21BB-421D-A827-7E988204F81C}">
      <dsp:nvSpPr>
        <dsp:cNvPr id="0" name=""/>
        <dsp:cNvSpPr/>
      </dsp:nvSpPr>
      <dsp:spPr>
        <a:xfrm>
          <a:off x="-7373" y="0"/>
          <a:ext cx="4248941" cy="676846"/>
        </a:xfrm>
        <a:prstGeom prst="roundRect">
          <a:avLst>
            <a:gd name="adj" fmla="val 10000"/>
          </a:avLst>
        </a:prstGeom>
        <a:solidFill>
          <a:schemeClr val="accent6">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t>Identifying environmental risks: </a:t>
          </a:r>
          <a:r>
            <a:rPr lang="en-US" altLang="zh-TW" sz="1400" kern="1200"/>
            <a:t>D</a:t>
          </a:r>
          <a:r>
            <a:rPr lang="zh-TW" sz="1400" kern="1200"/>
            <a:t>efine material environmental risks</a:t>
          </a:r>
          <a:r>
            <a:rPr lang="en-US" altLang="zh-TW" sz="1400" kern="1200"/>
            <a:t> in industries</a:t>
          </a:r>
          <a:endParaRPr lang="zh-TW" altLang="en-US" sz="1400" kern="1200"/>
        </a:p>
      </dsp:txBody>
      <dsp:txXfrm>
        <a:off x="12451" y="19824"/>
        <a:ext cx="3456150" cy="637198"/>
      </dsp:txXfrm>
    </dsp:sp>
    <dsp:sp modelId="{5CFD8EF8-1139-4237-A51F-D2B2FBCD902B}">
      <dsp:nvSpPr>
        <dsp:cNvPr id="0" name=""/>
        <dsp:cNvSpPr/>
      </dsp:nvSpPr>
      <dsp:spPr>
        <a:xfrm>
          <a:off x="360752" y="799909"/>
          <a:ext cx="4219448" cy="676846"/>
        </a:xfrm>
        <a:prstGeom prst="roundRect">
          <a:avLst>
            <a:gd name="adj" fmla="val 10000"/>
          </a:avLst>
        </a:prstGeom>
        <a:solidFill>
          <a:schemeClr val="accent6">
            <a:shade val="80000"/>
            <a:hueOff val="107093"/>
            <a:satOff val="-4303"/>
            <a:lumOff val="920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b="0" kern="1200"/>
            <a:t>Assessing environmental risks: Reviewing environmental risks; Conducting scenario analysis and stress testing  </a:t>
          </a:r>
          <a:endParaRPr lang="zh-TW" altLang="en-US" sz="1400" b="0" kern="1200"/>
        </a:p>
      </dsp:txBody>
      <dsp:txXfrm>
        <a:off x="380576" y="819733"/>
        <a:ext cx="3386471" cy="637198"/>
      </dsp:txXfrm>
    </dsp:sp>
    <dsp:sp modelId="{D3301BA0-E969-4956-A884-9E1EA3B6C5E9}">
      <dsp:nvSpPr>
        <dsp:cNvPr id="0" name=""/>
        <dsp:cNvSpPr/>
      </dsp:nvSpPr>
      <dsp:spPr>
        <a:xfrm>
          <a:off x="708856" y="1599819"/>
          <a:ext cx="4219448" cy="676846"/>
        </a:xfrm>
        <a:prstGeom prst="roundRect">
          <a:avLst>
            <a:gd name="adj" fmla="val 10000"/>
          </a:avLst>
        </a:prstGeom>
        <a:solidFill>
          <a:schemeClr val="accent6">
            <a:shade val="80000"/>
            <a:hueOff val="214187"/>
            <a:satOff val="-8606"/>
            <a:lumOff val="1841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t>Managinging environmental risks: Client engagement</a:t>
          </a:r>
          <a:endParaRPr lang="zh-TW" altLang="en-US" sz="1400" kern="1200"/>
        </a:p>
      </dsp:txBody>
      <dsp:txXfrm>
        <a:off x="728680" y="1619643"/>
        <a:ext cx="3391745" cy="637198"/>
      </dsp:txXfrm>
    </dsp:sp>
    <dsp:sp modelId="{ADD22977-A521-48EC-872B-D253AF3FC125}">
      <dsp:nvSpPr>
        <dsp:cNvPr id="0" name=""/>
        <dsp:cNvSpPr/>
      </dsp:nvSpPr>
      <dsp:spPr>
        <a:xfrm>
          <a:off x="1062235" y="2399728"/>
          <a:ext cx="4219448" cy="676846"/>
        </a:xfrm>
        <a:prstGeom prst="roundRect">
          <a:avLst>
            <a:gd name="adj" fmla="val 10000"/>
          </a:avLst>
        </a:prstGeom>
        <a:solidFill>
          <a:schemeClr val="accent6">
            <a:shade val="80000"/>
            <a:hueOff val="321280"/>
            <a:satOff val="-12909"/>
            <a:lumOff val="27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t>Monitoring </a:t>
          </a:r>
          <a:r>
            <a:rPr lang="zh-TW" sz="1400" kern="1200"/>
            <a:t>environmental risks</a:t>
          </a:r>
          <a:endParaRPr lang="zh-TW" altLang="en-US" sz="1400" kern="1200"/>
        </a:p>
      </dsp:txBody>
      <dsp:txXfrm>
        <a:off x="1082059" y="2419552"/>
        <a:ext cx="3386471" cy="637198"/>
      </dsp:txXfrm>
    </dsp:sp>
    <dsp:sp modelId="{274659D6-689C-4196-BA26-31B7620EE81E}">
      <dsp:nvSpPr>
        <dsp:cNvPr id="0" name=""/>
        <dsp:cNvSpPr/>
      </dsp:nvSpPr>
      <dsp:spPr>
        <a:xfrm>
          <a:off x="3786871" y="518402"/>
          <a:ext cx="439950" cy="439950"/>
        </a:xfrm>
        <a:prstGeom prst="downArrow">
          <a:avLst>
            <a:gd name="adj1" fmla="val 55000"/>
            <a:gd name="adj2" fmla="val 45000"/>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l" defTabSz="889000">
            <a:lnSpc>
              <a:spcPct val="90000"/>
            </a:lnSpc>
            <a:spcBef>
              <a:spcPct val="0"/>
            </a:spcBef>
            <a:spcAft>
              <a:spcPct val="35000"/>
            </a:spcAft>
          </a:pPr>
          <a:endParaRPr lang="zh-TW" altLang="en-US" sz="2000" kern="1200"/>
        </a:p>
      </dsp:txBody>
      <dsp:txXfrm>
        <a:off x="3885860" y="518402"/>
        <a:ext cx="241972" cy="331062"/>
      </dsp:txXfrm>
    </dsp:sp>
    <dsp:sp modelId="{15EA99F2-CDCB-485E-8A59-E24020BC7025}">
      <dsp:nvSpPr>
        <dsp:cNvPr id="0" name=""/>
        <dsp:cNvSpPr/>
      </dsp:nvSpPr>
      <dsp:spPr>
        <a:xfrm>
          <a:off x="4140250" y="1318312"/>
          <a:ext cx="439950" cy="439950"/>
        </a:xfrm>
        <a:prstGeom prst="downArrow">
          <a:avLst>
            <a:gd name="adj1" fmla="val 55000"/>
            <a:gd name="adj2" fmla="val 45000"/>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l" defTabSz="889000">
            <a:lnSpc>
              <a:spcPct val="90000"/>
            </a:lnSpc>
            <a:spcBef>
              <a:spcPct val="0"/>
            </a:spcBef>
            <a:spcAft>
              <a:spcPct val="35000"/>
            </a:spcAft>
          </a:pPr>
          <a:endParaRPr lang="zh-TW" altLang="en-US" sz="2000" kern="1200"/>
        </a:p>
      </dsp:txBody>
      <dsp:txXfrm>
        <a:off x="4239239" y="1318312"/>
        <a:ext cx="241972" cy="331062"/>
      </dsp:txXfrm>
    </dsp:sp>
    <dsp:sp modelId="{9F85D46F-6428-463E-B90E-08B5F8775833}">
      <dsp:nvSpPr>
        <dsp:cNvPr id="0" name=""/>
        <dsp:cNvSpPr/>
      </dsp:nvSpPr>
      <dsp:spPr>
        <a:xfrm>
          <a:off x="4488354" y="2118221"/>
          <a:ext cx="439950" cy="439950"/>
        </a:xfrm>
        <a:prstGeom prst="downArrow">
          <a:avLst>
            <a:gd name="adj1" fmla="val 55000"/>
            <a:gd name="adj2" fmla="val 45000"/>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l" defTabSz="889000">
            <a:lnSpc>
              <a:spcPct val="90000"/>
            </a:lnSpc>
            <a:spcBef>
              <a:spcPct val="0"/>
            </a:spcBef>
            <a:spcAft>
              <a:spcPct val="35000"/>
            </a:spcAft>
          </a:pPr>
          <a:endParaRPr lang="zh-TW" altLang="en-US" sz="2000" kern="1200"/>
        </a:p>
      </dsp:txBody>
      <dsp:txXfrm>
        <a:off x="4587343" y="2118221"/>
        <a:ext cx="241972" cy="33106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B1BB2-BB04-42C1-9E10-6F5CD427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2641</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2021 Environmental Risk Disclosure Report</vt:lpstr>
    </vt:vector>
  </TitlesOfParts>
  <Company/>
  <LinksUpToDate>false</LinksUpToDate>
  <CharactersWithSpaces>17660</CharactersWithSpaces>
  <SharedDoc>false</SharedDoc>
  <HLinks>
    <vt:vector size="66" baseType="variant">
      <vt:variant>
        <vt:i4>1048628</vt:i4>
      </vt:variant>
      <vt:variant>
        <vt:i4>62</vt:i4>
      </vt:variant>
      <vt:variant>
        <vt:i4>0</vt:i4>
      </vt:variant>
      <vt:variant>
        <vt:i4>5</vt:i4>
      </vt:variant>
      <vt:variant>
        <vt:lpwstr/>
      </vt:variant>
      <vt:variant>
        <vt:lpwstr>_Toc106234011</vt:lpwstr>
      </vt:variant>
      <vt:variant>
        <vt:i4>1048628</vt:i4>
      </vt:variant>
      <vt:variant>
        <vt:i4>56</vt:i4>
      </vt:variant>
      <vt:variant>
        <vt:i4>0</vt:i4>
      </vt:variant>
      <vt:variant>
        <vt:i4>5</vt:i4>
      </vt:variant>
      <vt:variant>
        <vt:lpwstr/>
      </vt:variant>
      <vt:variant>
        <vt:lpwstr>_Toc106234010</vt:lpwstr>
      </vt:variant>
      <vt:variant>
        <vt:i4>1114164</vt:i4>
      </vt:variant>
      <vt:variant>
        <vt:i4>50</vt:i4>
      </vt:variant>
      <vt:variant>
        <vt:i4>0</vt:i4>
      </vt:variant>
      <vt:variant>
        <vt:i4>5</vt:i4>
      </vt:variant>
      <vt:variant>
        <vt:lpwstr/>
      </vt:variant>
      <vt:variant>
        <vt:lpwstr>_Toc106234009</vt:lpwstr>
      </vt:variant>
      <vt:variant>
        <vt:i4>1114164</vt:i4>
      </vt:variant>
      <vt:variant>
        <vt:i4>44</vt:i4>
      </vt:variant>
      <vt:variant>
        <vt:i4>0</vt:i4>
      </vt:variant>
      <vt:variant>
        <vt:i4>5</vt:i4>
      </vt:variant>
      <vt:variant>
        <vt:lpwstr/>
      </vt:variant>
      <vt:variant>
        <vt:lpwstr>_Toc106234008</vt:lpwstr>
      </vt:variant>
      <vt:variant>
        <vt:i4>1114164</vt:i4>
      </vt:variant>
      <vt:variant>
        <vt:i4>38</vt:i4>
      </vt:variant>
      <vt:variant>
        <vt:i4>0</vt:i4>
      </vt:variant>
      <vt:variant>
        <vt:i4>5</vt:i4>
      </vt:variant>
      <vt:variant>
        <vt:lpwstr/>
      </vt:variant>
      <vt:variant>
        <vt:lpwstr>_Toc106234007</vt:lpwstr>
      </vt:variant>
      <vt:variant>
        <vt:i4>1114164</vt:i4>
      </vt:variant>
      <vt:variant>
        <vt:i4>32</vt:i4>
      </vt:variant>
      <vt:variant>
        <vt:i4>0</vt:i4>
      </vt:variant>
      <vt:variant>
        <vt:i4>5</vt:i4>
      </vt:variant>
      <vt:variant>
        <vt:lpwstr/>
      </vt:variant>
      <vt:variant>
        <vt:lpwstr>_Toc106234006</vt:lpwstr>
      </vt:variant>
      <vt:variant>
        <vt:i4>1114164</vt:i4>
      </vt:variant>
      <vt:variant>
        <vt:i4>26</vt:i4>
      </vt:variant>
      <vt:variant>
        <vt:i4>0</vt:i4>
      </vt:variant>
      <vt:variant>
        <vt:i4>5</vt:i4>
      </vt:variant>
      <vt:variant>
        <vt:lpwstr/>
      </vt:variant>
      <vt:variant>
        <vt:lpwstr>_Toc106234005</vt:lpwstr>
      </vt:variant>
      <vt:variant>
        <vt:i4>1114164</vt:i4>
      </vt:variant>
      <vt:variant>
        <vt:i4>20</vt:i4>
      </vt:variant>
      <vt:variant>
        <vt:i4>0</vt:i4>
      </vt:variant>
      <vt:variant>
        <vt:i4>5</vt:i4>
      </vt:variant>
      <vt:variant>
        <vt:lpwstr/>
      </vt:variant>
      <vt:variant>
        <vt:lpwstr>_Toc106234004</vt:lpwstr>
      </vt:variant>
      <vt:variant>
        <vt:i4>1114164</vt:i4>
      </vt:variant>
      <vt:variant>
        <vt:i4>14</vt:i4>
      </vt:variant>
      <vt:variant>
        <vt:i4>0</vt:i4>
      </vt:variant>
      <vt:variant>
        <vt:i4>5</vt:i4>
      </vt:variant>
      <vt:variant>
        <vt:lpwstr/>
      </vt:variant>
      <vt:variant>
        <vt:lpwstr>_Toc106234003</vt:lpwstr>
      </vt:variant>
      <vt:variant>
        <vt:i4>1114164</vt:i4>
      </vt:variant>
      <vt:variant>
        <vt:i4>8</vt:i4>
      </vt:variant>
      <vt:variant>
        <vt:i4>0</vt:i4>
      </vt:variant>
      <vt:variant>
        <vt:i4>5</vt:i4>
      </vt:variant>
      <vt:variant>
        <vt:lpwstr/>
      </vt:variant>
      <vt:variant>
        <vt:lpwstr>_Toc106234002</vt:lpwstr>
      </vt:variant>
      <vt:variant>
        <vt:i4>1114164</vt:i4>
      </vt:variant>
      <vt:variant>
        <vt:i4>2</vt:i4>
      </vt:variant>
      <vt:variant>
        <vt:i4>0</vt:i4>
      </vt:variant>
      <vt:variant>
        <vt:i4>5</vt:i4>
      </vt:variant>
      <vt:variant>
        <vt:lpwstr/>
      </vt:variant>
      <vt:variant>
        <vt:lpwstr>_Toc106234001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Environmental Risk Disclosure Report</dc:title>
  <dc:subject>land bank of taiwan, singapore branch</dc:subject>
  <dc:creator>2021 Environmental Risk Disclosure Report</dc:creator>
  <cp:keywords/>
  <dc:description/>
  <cp:lastModifiedBy>賴柏勳</cp:lastModifiedBy>
  <cp:revision>3</cp:revision>
  <dcterms:created xsi:type="dcterms:W3CDTF">2022-06-23T01:18:00Z</dcterms:created>
  <dcterms:modified xsi:type="dcterms:W3CDTF">2022-06-23T01:18:00Z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2022-06-01T03:42:22Z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da44b432-23c6-4580-833d-801340aa82a1</vt:lpwstr>
  </property>
  <property fmtid="{D5CDD505-2E9C-101B-9397-08002B2CF9AE}" pid="8" name="MSIP_Label_ea60d57e-af5b-4752-ac57-3e4f28ca11dc_ContentBits">
    <vt:lpwstr>0</vt:lpwstr>
  </property>
</Properties>
</file>